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BCF" w:rsidRPr="00A34895" w:rsidRDefault="00B4508A">
      <w:pPr>
        <w:widowControl/>
        <w:spacing w:line="360" w:lineRule="auto"/>
        <w:jc w:val="left"/>
        <w:rPr>
          <w:rFonts w:ascii="方正仿宋_GBK" w:eastAsia="方正仿宋_GBK" w:hint="eastAsia"/>
          <w:sz w:val="30"/>
          <w:szCs w:val="30"/>
        </w:rPr>
      </w:pPr>
      <w:r w:rsidRPr="00A34895">
        <w:rPr>
          <w:rFonts w:ascii="方正仿宋_GBK" w:eastAsia="方正仿宋_GBK" w:hint="eastAsia"/>
          <w:sz w:val="30"/>
          <w:szCs w:val="30"/>
        </w:rPr>
        <w:t>附件</w:t>
      </w:r>
      <w:r w:rsidR="00A34895" w:rsidRPr="00A34895">
        <w:rPr>
          <w:rFonts w:ascii="方正仿宋_GBK" w:eastAsia="方正仿宋_GBK" w:hint="eastAsia"/>
          <w:sz w:val="30"/>
          <w:szCs w:val="30"/>
        </w:rPr>
        <w:t>3</w:t>
      </w:r>
    </w:p>
    <w:p w:rsidR="001D1BCF" w:rsidRDefault="001D1BCF">
      <w:pPr>
        <w:widowControl/>
        <w:spacing w:line="360" w:lineRule="auto"/>
        <w:jc w:val="left"/>
        <w:rPr>
          <w:rFonts w:ascii="仿宋_GB2312" w:eastAsia="仿宋_GB2312"/>
          <w:sz w:val="32"/>
          <w:szCs w:val="32"/>
        </w:rPr>
      </w:pPr>
    </w:p>
    <w:p w:rsidR="001D1BCF" w:rsidRDefault="00B4508A">
      <w:pPr>
        <w:widowControl/>
        <w:spacing w:line="360" w:lineRule="auto"/>
        <w:jc w:val="center"/>
        <w:rPr>
          <w:rFonts w:ascii="黑体" w:eastAsia="黑体" w:hAnsi="黑体" w:cs="仿宋_GB2312"/>
          <w:bCs/>
          <w:sz w:val="36"/>
          <w:szCs w:val="36"/>
        </w:rPr>
      </w:pPr>
      <w:r>
        <w:rPr>
          <w:rFonts w:eastAsia="黑体" w:hAnsi="黑体" w:hint="eastAsia"/>
          <w:bCs/>
          <w:sz w:val="36"/>
          <w:szCs w:val="36"/>
        </w:rPr>
        <w:t>国家外汇管理局</w:t>
      </w:r>
      <w:r>
        <w:rPr>
          <w:rFonts w:ascii="黑体" w:eastAsia="黑体" w:hAnsi="黑体" w:cs="仿宋_GB2312" w:hint="eastAsia"/>
          <w:bCs/>
          <w:sz w:val="36"/>
          <w:szCs w:val="36"/>
        </w:rPr>
        <w:t>重庆外汇管理部境内信贷资产</w:t>
      </w:r>
    </w:p>
    <w:p w:rsidR="001D1BCF" w:rsidRDefault="00B4508A">
      <w:pPr>
        <w:widowControl/>
        <w:spacing w:line="360" w:lineRule="auto"/>
        <w:jc w:val="center"/>
        <w:rPr>
          <w:rFonts w:ascii="黑体" w:eastAsia="黑体" w:hAnsi="黑体" w:cs="仿宋_GB2312"/>
          <w:bCs/>
          <w:sz w:val="36"/>
          <w:szCs w:val="36"/>
        </w:rPr>
      </w:pPr>
      <w:r>
        <w:rPr>
          <w:rFonts w:ascii="黑体" w:eastAsia="黑体" w:hAnsi="黑体" w:cs="仿宋_GB2312" w:hint="eastAsia"/>
          <w:bCs/>
          <w:sz w:val="36"/>
          <w:szCs w:val="36"/>
        </w:rPr>
        <w:t>对外转让试点业务操作指引</w:t>
      </w:r>
      <w:r w:rsidR="001E33EA">
        <w:rPr>
          <w:rFonts w:ascii="黑体" w:eastAsia="黑体" w:hAnsi="黑体" w:cs="仿宋_GB2312" w:hint="eastAsia"/>
          <w:bCs/>
          <w:sz w:val="36"/>
          <w:szCs w:val="36"/>
        </w:rPr>
        <w:t>（征求</w:t>
      </w:r>
      <w:r w:rsidR="001E33EA">
        <w:rPr>
          <w:rFonts w:ascii="黑体" w:eastAsia="黑体" w:hAnsi="黑体" w:cs="仿宋_GB2312"/>
          <w:bCs/>
          <w:sz w:val="36"/>
          <w:szCs w:val="36"/>
        </w:rPr>
        <w:t>意见稿</w:t>
      </w:r>
      <w:bookmarkStart w:id="0" w:name="_GoBack"/>
      <w:bookmarkEnd w:id="0"/>
      <w:r w:rsidR="001E33EA">
        <w:rPr>
          <w:rFonts w:ascii="黑体" w:eastAsia="黑体" w:hAnsi="黑体" w:cs="仿宋_GB2312" w:hint="eastAsia"/>
          <w:bCs/>
          <w:sz w:val="36"/>
          <w:szCs w:val="36"/>
        </w:rPr>
        <w:t>）</w:t>
      </w:r>
    </w:p>
    <w:p w:rsidR="001D1BCF" w:rsidRDefault="001D1BCF">
      <w:pPr>
        <w:widowControl/>
        <w:spacing w:line="360" w:lineRule="auto"/>
        <w:ind w:firstLineChars="200" w:firstLine="640"/>
        <w:jc w:val="left"/>
        <w:rPr>
          <w:rFonts w:ascii="仿宋_GB2312" w:eastAsia="仿宋_GB2312" w:hAnsi="仿宋_GB2312" w:cs="仿宋_GB2312"/>
          <w:sz w:val="32"/>
          <w:szCs w:val="32"/>
        </w:rPr>
      </w:pPr>
    </w:p>
    <w:p w:rsidR="001D1BCF" w:rsidRPr="00A34895" w:rsidRDefault="00B4508A">
      <w:pPr>
        <w:spacing w:line="360" w:lineRule="auto"/>
        <w:ind w:firstLineChars="200" w:firstLine="602"/>
        <w:rPr>
          <w:rFonts w:ascii="方正仿宋_GBK" w:eastAsia="方正仿宋_GBK" w:hAnsi="仿宋_GB2312" w:cs="仿宋_GB2312" w:hint="eastAsia"/>
          <w:color w:val="000000"/>
          <w:sz w:val="30"/>
          <w:szCs w:val="30"/>
        </w:rPr>
      </w:pPr>
      <w:r w:rsidRPr="00A34895">
        <w:rPr>
          <w:rFonts w:ascii="方正仿宋_GBK" w:eastAsia="方正仿宋_GBK" w:hAnsi="仿宋_GB2312" w:cs="仿宋_GB2312" w:hint="eastAsia"/>
          <w:b/>
          <w:sz w:val="30"/>
          <w:szCs w:val="30"/>
        </w:rPr>
        <w:t>第一条</w:t>
      </w:r>
      <w:r w:rsidRPr="00A34895">
        <w:rPr>
          <w:rFonts w:ascii="方正仿宋_GBK" w:eastAsia="方正仿宋_GBK" w:hint="eastAsia"/>
          <w:sz w:val="30"/>
          <w:szCs w:val="30"/>
        </w:rPr>
        <w:t xml:space="preserve"> </w:t>
      </w:r>
      <w:r w:rsidRPr="00A34895">
        <w:rPr>
          <w:rFonts w:ascii="方正仿宋_GBK" w:eastAsia="方正仿宋_GBK" w:hint="eastAsia"/>
          <w:sz w:val="30"/>
          <w:szCs w:val="30"/>
        </w:rPr>
        <w:t>为贯彻落实《国家外汇管理局关于进一步促进跨境贸易投资便利化的通知》（汇发〔</w:t>
      </w:r>
      <w:r w:rsidRPr="00A34895">
        <w:rPr>
          <w:rFonts w:ascii="方正仿宋_GBK" w:eastAsia="方正仿宋_GBK" w:hint="eastAsia"/>
          <w:sz w:val="30"/>
          <w:szCs w:val="30"/>
        </w:rPr>
        <w:t>2019</w:t>
      </w:r>
      <w:r w:rsidRPr="00A34895">
        <w:rPr>
          <w:rFonts w:ascii="方正仿宋_GBK" w:eastAsia="方正仿宋_GBK" w:hint="eastAsia"/>
          <w:sz w:val="30"/>
          <w:szCs w:val="30"/>
        </w:rPr>
        <w:t>〕</w:t>
      </w:r>
      <w:r w:rsidRPr="00A34895">
        <w:rPr>
          <w:rFonts w:ascii="方正仿宋_GBK" w:eastAsia="方正仿宋_GBK" w:hint="eastAsia"/>
          <w:sz w:val="30"/>
          <w:szCs w:val="30"/>
        </w:rPr>
        <w:t>28</w:t>
      </w:r>
      <w:r w:rsidRPr="00A34895">
        <w:rPr>
          <w:rFonts w:ascii="方正仿宋_GBK" w:eastAsia="方正仿宋_GBK" w:hint="eastAsia"/>
          <w:sz w:val="30"/>
          <w:szCs w:val="30"/>
        </w:rPr>
        <w:t>号）要求</w:t>
      </w:r>
      <w:r w:rsidRPr="00A34895">
        <w:rPr>
          <w:rFonts w:ascii="方正仿宋_GBK" w:eastAsia="方正仿宋_GBK" w:hAnsi="仿宋" w:cs="仿宋" w:hint="eastAsia"/>
          <w:color w:val="000000"/>
          <w:sz w:val="30"/>
          <w:szCs w:val="30"/>
        </w:rPr>
        <w:t>，</w:t>
      </w:r>
      <w:r w:rsidRPr="00A34895">
        <w:rPr>
          <w:rFonts w:ascii="方正仿宋_GBK" w:eastAsia="方正仿宋_GBK" w:hAnsi="仿宋_GB2312" w:cs="仿宋_GB2312" w:hint="eastAsia"/>
          <w:color w:val="000000"/>
          <w:sz w:val="30"/>
          <w:szCs w:val="30"/>
        </w:rPr>
        <w:t>拓宽境内信贷资产对外转让渠道，</w:t>
      </w:r>
      <w:r w:rsidRPr="00A34895">
        <w:rPr>
          <w:rFonts w:ascii="方正仿宋_GBK" w:eastAsia="方正仿宋_GBK" w:hAnsi="仿宋" w:cs="仿宋" w:hint="eastAsia"/>
          <w:color w:val="000000"/>
          <w:sz w:val="30"/>
          <w:szCs w:val="30"/>
        </w:rPr>
        <w:t>国家外汇管理局重庆外汇管理部</w:t>
      </w:r>
      <w:r w:rsidRPr="00A34895">
        <w:rPr>
          <w:rFonts w:ascii="方正仿宋_GBK" w:eastAsia="方正仿宋_GBK" w:hint="eastAsia"/>
          <w:sz w:val="30"/>
          <w:szCs w:val="30"/>
        </w:rPr>
        <w:t>（以下简称我外汇管理部）</w:t>
      </w:r>
      <w:r w:rsidRPr="00A34895">
        <w:rPr>
          <w:rFonts w:ascii="方正仿宋_GBK" w:eastAsia="方正仿宋_GBK" w:hAnsi="仿宋_GB2312" w:cs="仿宋_GB2312" w:hint="eastAsia"/>
          <w:color w:val="000000"/>
          <w:sz w:val="30"/>
          <w:szCs w:val="30"/>
        </w:rPr>
        <w:t>制定本操作指引</w:t>
      </w:r>
      <w:r w:rsidRPr="00A34895">
        <w:rPr>
          <w:rFonts w:ascii="方正仿宋_GBK" w:eastAsia="方正仿宋_GBK" w:hAnsi="仿宋_GB2312" w:cs="仿宋_GB2312" w:hint="eastAsia"/>
          <w:sz w:val="30"/>
          <w:szCs w:val="30"/>
        </w:rPr>
        <w:t>。</w:t>
      </w:r>
    </w:p>
    <w:p w:rsidR="001D1BCF" w:rsidRPr="00A34895" w:rsidRDefault="00B4508A">
      <w:pPr>
        <w:spacing w:line="360" w:lineRule="auto"/>
        <w:ind w:firstLineChars="200" w:firstLine="602"/>
        <w:rPr>
          <w:rFonts w:ascii="方正仿宋_GBK" w:eastAsia="方正仿宋_GBK" w:hAnsi="仿宋_GB2312" w:cs="仿宋_GB2312" w:hint="eastAsia"/>
          <w:sz w:val="30"/>
          <w:szCs w:val="30"/>
        </w:rPr>
      </w:pPr>
      <w:r w:rsidRPr="00A34895">
        <w:rPr>
          <w:rFonts w:ascii="方正仿宋_GBK" w:eastAsia="方正仿宋_GBK" w:hAnsi="仿宋_GB2312" w:cs="仿宋_GB2312" w:hint="eastAsia"/>
          <w:b/>
          <w:sz w:val="30"/>
          <w:szCs w:val="30"/>
        </w:rPr>
        <w:t>第二条</w:t>
      </w:r>
      <w:r w:rsidRPr="00A34895">
        <w:rPr>
          <w:rFonts w:ascii="方正仿宋_GBK" w:eastAsia="方正仿宋_GBK" w:hAnsi="仿宋_GB2312" w:cs="仿宋_GB2312" w:hint="eastAsia"/>
          <w:sz w:val="30"/>
          <w:szCs w:val="30"/>
        </w:rPr>
        <w:t xml:space="preserve"> </w:t>
      </w:r>
      <w:r w:rsidRPr="00A34895">
        <w:rPr>
          <w:rFonts w:ascii="方正仿宋_GBK" w:eastAsia="方正仿宋_GBK" w:hAnsi="仿宋_GB2312" w:cs="仿宋_GB2312" w:hint="eastAsia"/>
          <w:sz w:val="30"/>
          <w:szCs w:val="30"/>
        </w:rPr>
        <w:t>本指引所称境内信贷资产对外转让，仅限于银行不良贷款和银行贸易融资资产向境外转出。银行不良贷款是指辖内银行经营过程中形成的不良贷款（含金融资产管理公司合法取得的银行不良贷款），银行贸易融资是指辖内银行因办理基于真实跨境贸易结算产生的银行贸易融资资产。</w:t>
      </w:r>
    </w:p>
    <w:p w:rsidR="001D1BCF" w:rsidRPr="00A34895" w:rsidRDefault="00B4508A">
      <w:pPr>
        <w:spacing w:line="360" w:lineRule="auto"/>
        <w:ind w:firstLineChars="200" w:firstLine="602"/>
        <w:rPr>
          <w:rFonts w:ascii="方正仿宋_GBK" w:eastAsia="方正仿宋_GBK" w:hAnsi="仿宋_GB2312" w:cs="仿宋_GB2312" w:hint="eastAsia"/>
          <w:sz w:val="30"/>
          <w:szCs w:val="30"/>
        </w:rPr>
      </w:pPr>
      <w:r w:rsidRPr="00A34895">
        <w:rPr>
          <w:rFonts w:ascii="方正仿宋_GBK" w:eastAsia="方正仿宋_GBK" w:hAnsi="仿宋_GB2312" w:cs="仿宋_GB2312" w:hint="eastAsia"/>
          <w:b/>
          <w:sz w:val="30"/>
          <w:szCs w:val="30"/>
        </w:rPr>
        <w:t>第三条</w:t>
      </w:r>
      <w:r w:rsidRPr="00A34895">
        <w:rPr>
          <w:rFonts w:ascii="方正仿宋_GBK" w:eastAsia="方正仿宋_GBK" w:hAnsi="仿宋_GB2312" w:cs="仿宋_GB2312" w:hint="eastAsia"/>
          <w:sz w:val="30"/>
          <w:szCs w:val="30"/>
        </w:rPr>
        <w:t xml:space="preserve"> </w:t>
      </w:r>
      <w:r w:rsidRPr="00A34895">
        <w:rPr>
          <w:rFonts w:ascii="方正仿宋_GBK" w:eastAsia="方正仿宋_GBK" w:hAnsi="仿宋_GB2312" w:cs="仿宋_GB2312" w:hint="eastAsia"/>
          <w:sz w:val="30"/>
          <w:szCs w:val="30"/>
        </w:rPr>
        <w:t>辖内机构</w:t>
      </w:r>
      <w:r w:rsidRPr="00A34895">
        <w:rPr>
          <w:rFonts w:ascii="方正仿宋_GBK" w:eastAsia="方正仿宋_GBK" w:hAnsi="仿宋" w:cs="仿宋_GB2312" w:hint="eastAsia"/>
          <w:sz w:val="30"/>
          <w:szCs w:val="30"/>
        </w:rPr>
        <w:t>（含银行和代理机构）</w:t>
      </w:r>
      <w:r w:rsidRPr="00A34895">
        <w:rPr>
          <w:rFonts w:ascii="方正仿宋_GBK" w:eastAsia="方正仿宋_GBK" w:hAnsi="仿宋_GB2312" w:cs="仿宋_GB2312" w:hint="eastAsia"/>
          <w:sz w:val="30"/>
          <w:szCs w:val="30"/>
        </w:rPr>
        <w:t>开展境内信贷资产对外转让试点业务，应遵守本指引和发展改革委、财政部、商务部、人民银行和银保监会等相关部门的规定，并符合国家产业政策等相关要求。</w:t>
      </w:r>
    </w:p>
    <w:p w:rsidR="001D1BCF" w:rsidRPr="00A34895" w:rsidRDefault="00B4508A">
      <w:pPr>
        <w:spacing w:line="360" w:lineRule="auto"/>
        <w:ind w:firstLineChars="200" w:firstLine="602"/>
        <w:rPr>
          <w:rFonts w:ascii="方正仿宋_GBK" w:eastAsia="方正仿宋_GBK" w:hAnsi="仿宋_GB2312" w:cs="仿宋_GB2312" w:hint="eastAsia"/>
          <w:sz w:val="30"/>
          <w:szCs w:val="30"/>
          <w:u w:val="single"/>
        </w:rPr>
      </w:pPr>
      <w:r w:rsidRPr="00A34895">
        <w:rPr>
          <w:rFonts w:ascii="方正仿宋_GBK" w:eastAsia="方正仿宋_GBK" w:hAnsi="仿宋" w:cs="仿宋" w:hint="eastAsia"/>
          <w:b/>
          <w:color w:val="000000"/>
          <w:sz w:val="30"/>
          <w:szCs w:val="30"/>
        </w:rPr>
        <w:t>第四条</w:t>
      </w:r>
      <w:r w:rsidRPr="00A34895">
        <w:rPr>
          <w:rFonts w:ascii="方正仿宋_GBK" w:eastAsia="方正仿宋_GBK" w:hAnsi="仿宋" w:cs="仿宋" w:hint="eastAsia"/>
          <w:b/>
          <w:color w:val="000000"/>
          <w:sz w:val="30"/>
          <w:szCs w:val="30"/>
        </w:rPr>
        <w:t xml:space="preserve"> </w:t>
      </w:r>
      <w:r w:rsidRPr="00A34895">
        <w:rPr>
          <w:rFonts w:ascii="方正仿宋_GBK" w:eastAsia="方正仿宋_GBK" w:hint="eastAsia"/>
          <w:sz w:val="30"/>
          <w:szCs w:val="30"/>
        </w:rPr>
        <w:t>我外汇管理部参照外债管理规定，</w:t>
      </w:r>
      <w:r w:rsidRPr="00A34895">
        <w:rPr>
          <w:rFonts w:ascii="方正仿宋_GBK" w:eastAsia="方正仿宋_GBK" w:hAnsi="仿宋_GB2312" w:cs="仿宋_GB2312" w:hint="eastAsia"/>
          <w:sz w:val="30"/>
          <w:szCs w:val="30"/>
        </w:rPr>
        <w:t>对境内信贷资产对外转让试点业务实行逐笔登记，对境内信贷资产对外转让形成的外债，</w:t>
      </w:r>
      <w:r w:rsidRPr="00A34895">
        <w:rPr>
          <w:rFonts w:ascii="方正仿宋_GBK" w:eastAsia="方正仿宋_GBK" w:hAnsi="仿宋" w:cs="仿宋_GB2312" w:hint="eastAsia"/>
          <w:sz w:val="30"/>
          <w:szCs w:val="30"/>
        </w:rPr>
        <w:t>不纳入银行和代理机构自身跨境融资风险加权余额计算。</w:t>
      </w:r>
    </w:p>
    <w:p w:rsidR="001D1BCF" w:rsidRPr="00A34895" w:rsidRDefault="00B4508A">
      <w:pPr>
        <w:spacing w:line="360" w:lineRule="auto"/>
        <w:ind w:firstLineChars="200" w:firstLine="602"/>
        <w:rPr>
          <w:rFonts w:ascii="方正仿宋_GBK" w:eastAsia="方正仿宋_GBK" w:hAnsi="仿宋_GB2312" w:cs="仿宋_GB2312" w:hint="eastAsia"/>
          <w:sz w:val="30"/>
          <w:szCs w:val="30"/>
        </w:rPr>
      </w:pPr>
      <w:r w:rsidRPr="00A34895">
        <w:rPr>
          <w:rFonts w:ascii="方正仿宋_GBK" w:eastAsia="方正仿宋_GBK" w:hAnsi="仿宋" w:cs="仿宋" w:hint="eastAsia"/>
          <w:b/>
          <w:color w:val="000000"/>
          <w:sz w:val="30"/>
          <w:szCs w:val="30"/>
        </w:rPr>
        <w:lastRenderedPageBreak/>
        <w:t>第五条</w:t>
      </w:r>
      <w:r w:rsidRPr="00A34895">
        <w:rPr>
          <w:rFonts w:ascii="方正仿宋_GBK" w:eastAsia="方正仿宋_GBK" w:hint="eastAsia"/>
          <w:sz w:val="30"/>
          <w:szCs w:val="30"/>
        </w:rPr>
        <w:t xml:space="preserve"> </w:t>
      </w:r>
      <w:r w:rsidRPr="00A34895">
        <w:rPr>
          <w:rFonts w:ascii="方正仿宋_GBK" w:eastAsia="方正仿宋_GBK" w:hint="eastAsia"/>
          <w:sz w:val="30"/>
          <w:szCs w:val="30"/>
        </w:rPr>
        <w:t>辖内银行直接对外转让不良贷款的，应具备完善的内控制度和风险管理制度，并向我外汇管理部事前逐笔备案，并提交以下备案材料：</w:t>
      </w:r>
    </w:p>
    <w:p w:rsidR="001D1BCF" w:rsidRPr="00A34895" w:rsidRDefault="00B4508A">
      <w:pPr>
        <w:spacing w:line="360" w:lineRule="auto"/>
        <w:ind w:firstLineChars="200" w:firstLine="600"/>
        <w:rPr>
          <w:rFonts w:ascii="方正仿宋_GBK" w:eastAsia="方正仿宋_GBK" w:hint="eastAsia"/>
          <w:sz w:val="30"/>
          <w:szCs w:val="30"/>
        </w:rPr>
      </w:pPr>
      <w:r w:rsidRPr="00A34895">
        <w:rPr>
          <w:rFonts w:ascii="方正仿宋_GBK" w:eastAsia="方正仿宋_GBK" w:hint="eastAsia"/>
          <w:sz w:val="30"/>
          <w:szCs w:val="30"/>
        </w:rPr>
        <w:t>1.</w:t>
      </w:r>
      <w:r w:rsidRPr="00A34895">
        <w:rPr>
          <w:rFonts w:ascii="方正仿宋_GBK" w:eastAsia="方正仿宋_GBK" w:hint="eastAsia"/>
          <w:sz w:val="30"/>
          <w:szCs w:val="30"/>
        </w:rPr>
        <w:t>备案申请书；</w:t>
      </w:r>
    </w:p>
    <w:p w:rsidR="001D1BCF" w:rsidRPr="00A34895" w:rsidRDefault="00B4508A">
      <w:pPr>
        <w:spacing w:line="360" w:lineRule="auto"/>
        <w:ind w:firstLineChars="200" w:firstLine="600"/>
        <w:rPr>
          <w:rFonts w:ascii="方正仿宋_GBK" w:eastAsia="方正仿宋_GBK" w:hint="eastAsia"/>
          <w:sz w:val="30"/>
          <w:szCs w:val="30"/>
        </w:rPr>
      </w:pPr>
      <w:r w:rsidRPr="00A34895">
        <w:rPr>
          <w:rFonts w:ascii="方正仿宋_GBK" w:eastAsia="方正仿宋_GBK" w:hint="eastAsia"/>
          <w:sz w:val="30"/>
          <w:szCs w:val="30"/>
        </w:rPr>
        <w:t>2.</w:t>
      </w:r>
      <w:r w:rsidRPr="00A34895">
        <w:rPr>
          <w:rFonts w:ascii="方正仿宋_GBK" w:eastAsia="方正仿宋_GBK" w:hint="eastAsia"/>
          <w:sz w:val="30"/>
          <w:szCs w:val="30"/>
        </w:rPr>
        <w:t>对外转让不良贷款情况及对外转让协议（含关于转让资产合法合规真实的承诺书或相关证明材料、底层贷款和资产担保情况）；</w:t>
      </w:r>
    </w:p>
    <w:p w:rsidR="001D1BCF" w:rsidRPr="00A34895" w:rsidRDefault="00B4508A">
      <w:pPr>
        <w:spacing w:line="360" w:lineRule="auto"/>
        <w:ind w:firstLineChars="200" w:firstLine="600"/>
        <w:rPr>
          <w:rFonts w:ascii="方正仿宋_GBK" w:eastAsia="方正仿宋_GBK" w:hint="eastAsia"/>
          <w:sz w:val="30"/>
          <w:szCs w:val="30"/>
        </w:rPr>
      </w:pPr>
      <w:r w:rsidRPr="00A34895">
        <w:rPr>
          <w:rFonts w:ascii="方正仿宋_GBK" w:eastAsia="方正仿宋_GBK" w:hint="eastAsia"/>
          <w:sz w:val="30"/>
          <w:szCs w:val="30"/>
        </w:rPr>
        <w:t>3.</w:t>
      </w:r>
      <w:r w:rsidRPr="00A34895">
        <w:rPr>
          <w:rFonts w:ascii="方正仿宋_GBK" w:eastAsia="方正仿宋_GBK" w:hint="eastAsia"/>
          <w:sz w:val="30"/>
          <w:szCs w:val="30"/>
        </w:rPr>
        <w:t>首次开展业务的辖内银行，还应提交合规经营、审慎展业，具备完善内控管理制度等相关证明材料。</w:t>
      </w:r>
    </w:p>
    <w:p w:rsidR="001D1BCF" w:rsidRPr="00A34895" w:rsidRDefault="00B4508A">
      <w:pPr>
        <w:pStyle w:val="2"/>
        <w:tabs>
          <w:tab w:val="left" w:pos="0"/>
        </w:tabs>
        <w:spacing w:line="360" w:lineRule="auto"/>
        <w:ind w:firstLineChars="202" w:firstLine="606"/>
        <w:rPr>
          <w:rFonts w:ascii="方正仿宋_GBK" w:eastAsia="方正仿宋_GBK" w:hint="eastAsia"/>
          <w:sz w:val="30"/>
          <w:szCs w:val="30"/>
        </w:rPr>
      </w:pPr>
      <w:r w:rsidRPr="00A34895">
        <w:rPr>
          <w:rFonts w:ascii="方正仿宋_GBK" w:eastAsia="方正仿宋_GBK" w:hint="eastAsia"/>
          <w:sz w:val="30"/>
          <w:szCs w:val="30"/>
        </w:rPr>
        <w:t>我外汇管理部备案通过后，</w:t>
      </w:r>
      <w:r w:rsidRPr="00A34895">
        <w:rPr>
          <w:rFonts w:ascii="方正仿宋_GBK" w:eastAsia="方正仿宋_GBK" w:hint="eastAsia"/>
          <w:sz w:val="30"/>
          <w:szCs w:val="30"/>
        </w:rPr>
        <w:t>向辖内申请银行出具《国家外汇管理局重庆外汇管理部资本项目外汇业务备案通知书》（以下简称《备案通知书》，格式见附件）。</w:t>
      </w:r>
    </w:p>
    <w:p w:rsidR="001D1BCF" w:rsidRPr="00A34895" w:rsidRDefault="00B4508A">
      <w:pPr>
        <w:pStyle w:val="2"/>
        <w:tabs>
          <w:tab w:val="left" w:pos="0"/>
        </w:tabs>
        <w:spacing w:line="360" w:lineRule="auto"/>
        <w:ind w:firstLineChars="202" w:firstLine="606"/>
        <w:rPr>
          <w:rFonts w:ascii="方正仿宋_GBK" w:eastAsia="方正仿宋_GBK" w:hAnsi="仿宋" w:cs="仿宋_GB2312" w:hint="eastAsia"/>
          <w:sz w:val="30"/>
          <w:szCs w:val="30"/>
        </w:rPr>
      </w:pPr>
      <w:r w:rsidRPr="00A34895">
        <w:rPr>
          <w:rFonts w:ascii="方正仿宋_GBK" w:eastAsia="方正仿宋_GBK" w:hAnsi="仿宋" w:cs="仿宋_GB2312" w:hint="eastAsia"/>
          <w:sz w:val="30"/>
          <w:szCs w:val="30"/>
        </w:rPr>
        <w:t>辖内银行直接对外转让不良贷款试点业务形成的外债，按照现行外债管理规定办理外债登记，债务类型登记为“外债</w:t>
      </w:r>
      <w:r w:rsidRPr="00A34895">
        <w:rPr>
          <w:rFonts w:ascii="方正仿宋_GBK" w:eastAsia="方正仿宋_GBK" w:hAnsi="仿宋" w:cs="仿宋_GB2312" w:hint="eastAsia"/>
          <w:sz w:val="30"/>
          <w:szCs w:val="30"/>
        </w:rPr>
        <w:t>-</w:t>
      </w:r>
      <w:r w:rsidRPr="00A34895">
        <w:rPr>
          <w:rFonts w:ascii="方正仿宋_GBK" w:eastAsia="方正仿宋_GBK" w:hAnsi="仿宋" w:cs="仿宋_GB2312" w:hint="eastAsia"/>
          <w:sz w:val="30"/>
          <w:szCs w:val="30"/>
        </w:rPr>
        <w:t>其他贷款”，在“项目名称”中注明“银行不良贷款对外转让”，在备注栏中注明“实际债务人为境内企业”。</w:t>
      </w:r>
    </w:p>
    <w:p w:rsidR="001D1BCF" w:rsidRPr="00A34895" w:rsidRDefault="00B4508A">
      <w:pPr>
        <w:pStyle w:val="2"/>
        <w:tabs>
          <w:tab w:val="left" w:pos="0"/>
        </w:tabs>
        <w:spacing w:line="360" w:lineRule="auto"/>
        <w:ind w:firstLineChars="202" w:firstLine="606"/>
        <w:rPr>
          <w:rFonts w:ascii="方正仿宋_GBK" w:eastAsia="方正仿宋_GBK" w:hAnsi="仿宋" w:cs="仿宋_GB2312" w:hint="eastAsia"/>
          <w:sz w:val="30"/>
          <w:szCs w:val="30"/>
          <w:shd w:val="pct10" w:color="auto" w:fill="FFFFFF"/>
        </w:rPr>
      </w:pPr>
      <w:r w:rsidRPr="00A34895">
        <w:rPr>
          <w:rFonts w:ascii="方正仿宋_GBK" w:eastAsia="方正仿宋_GBK" w:hAnsi="仿宋" w:cs="仿宋_GB2312" w:hint="eastAsia"/>
          <w:sz w:val="30"/>
          <w:szCs w:val="30"/>
        </w:rPr>
        <w:t>辖内银行直接对外转让不良贷款的转让对价结汇，及清收款项的购付汇，由银行进行真实合规性审核后自行办理，并在结售汇统计中报送在“</w:t>
      </w:r>
      <w:r w:rsidRPr="00A34895">
        <w:rPr>
          <w:rFonts w:ascii="方正仿宋_GBK" w:eastAsia="方正仿宋_GBK" w:hAnsi="仿宋" w:cs="仿宋_GB2312" w:hint="eastAsia"/>
          <w:sz w:val="30"/>
          <w:szCs w:val="30"/>
        </w:rPr>
        <w:t>240</w:t>
      </w:r>
      <w:r w:rsidRPr="00A34895">
        <w:rPr>
          <w:rFonts w:ascii="方正仿宋_GBK" w:eastAsia="方正仿宋_GBK" w:hAnsi="仿宋" w:cs="仿宋_GB2312" w:hint="eastAsia"/>
          <w:sz w:val="30"/>
          <w:szCs w:val="30"/>
        </w:rPr>
        <w:t>其他投资”项下，并在报送“对外金融资产负债与交易统计”报表时</w:t>
      </w:r>
      <w:r w:rsidRPr="00A34895">
        <w:rPr>
          <w:rFonts w:ascii="方正仿宋_GBK" w:eastAsia="方正仿宋_GBK" w:hAnsi="仿宋" w:cs="仿宋_GB2312" w:hint="eastAsia"/>
          <w:sz w:val="30"/>
          <w:szCs w:val="30"/>
        </w:rPr>
        <w:t>，将对外转让所得资金信息填报在</w:t>
      </w:r>
      <w:r w:rsidRPr="00A34895">
        <w:rPr>
          <w:rFonts w:ascii="方正仿宋_GBK" w:eastAsia="方正仿宋_GBK" w:hAnsi="仿宋" w:cs="仿宋_GB2312" w:hint="eastAsia"/>
          <w:sz w:val="30"/>
          <w:szCs w:val="30"/>
        </w:rPr>
        <w:t>D01</w:t>
      </w:r>
      <w:r w:rsidRPr="00A34895">
        <w:rPr>
          <w:rFonts w:ascii="方正仿宋_GBK" w:eastAsia="方正仿宋_GBK" w:hAnsi="仿宋" w:cs="仿宋_GB2312" w:hint="eastAsia"/>
          <w:sz w:val="30"/>
          <w:szCs w:val="30"/>
        </w:rPr>
        <w:t>表（货币与存款）中，包括存量和流量等各项目。</w:t>
      </w:r>
    </w:p>
    <w:p w:rsidR="001D1BCF" w:rsidRPr="00A34895" w:rsidRDefault="00B4508A">
      <w:pPr>
        <w:spacing w:line="360" w:lineRule="auto"/>
        <w:ind w:firstLineChars="200" w:firstLine="602"/>
        <w:rPr>
          <w:rFonts w:ascii="方正仿宋_GBK" w:eastAsia="方正仿宋_GBK" w:hAnsi="仿宋_GB2312" w:cs="仿宋_GB2312" w:hint="eastAsia"/>
          <w:sz w:val="30"/>
          <w:szCs w:val="30"/>
        </w:rPr>
      </w:pPr>
      <w:r w:rsidRPr="00A34895">
        <w:rPr>
          <w:rFonts w:ascii="方正仿宋_GBK" w:eastAsia="方正仿宋_GBK" w:hAnsi="仿宋_GB2312" w:cs="仿宋_GB2312" w:hint="eastAsia"/>
          <w:b/>
          <w:sz w:val="30"/>
          <w:szCs w:val="30"/>
        </w:rPr>
        <w:t>第六条</w:t>
      </w:r>
      <w:r w:rsidRPr="00A34895">
        <w:rPr>
          <w:rFonts w:ascii="方正仿宋_GBK" w:eastAsia="方正仿宋_GBK" w:hAnsi="仿宋_GB2312" w:cs="仿宋_GB2312" w:hint="eastAsia"/>
          <w:sz w:val="30"/>
          <w:szCs w:val="30"/>
        </w:rPr>
        <w:t xml:space="preserve"> </w:t>
      </w:r>
      <w:r w:rsidRPr="00A34895">
        <w:rPr>
          <w:rFonts w:ascii="方正仿宋_GBK" w:eastAsia="方正仿宋_GBK" w:hAnsi="仿宋_GB2312" w:cs="仿宋_GB2312" w:hint="eastAsia"/>
          <w:sz w:val="30"/>
          <w:szCs w:val="30"/>
        </w:rPr>
        <w:t>代理机构开展辖内银行不良贷款对外转让试点业务，</w:t>
      </w:r>
      <w:r w:rsidRPr="00A34895">
        <w:rPr>
          <w:rFonts w:ascii="方正仿宋_GBK" w:eastAsia="方正仿宋_GBK" w:hAnsi="仿宋_GB2312" w:cs="仿宋_GB2312" w:hint="eastAsia"/>
          <w:sz w:val="30"/>
          <w:szCs w:val="30"/>
        </w:rPr>
        <w:lastRenderedPageBreak/>
        <w:t>应具备交易必备的办公场所、人员等基础设施和相关管理制度等。首次开展试点业务前，</w:t>
      </w:r>
      <w:r w:rsidRPr="00A34895">
        <w:rPr>
          <w:rFonts w:ascii="方正仿宋_GBK" w:eastAsia="方正仿宋_GBK" w:hint="eastAsia"/>
          <w:sz w:val="30"/>
          <w:szCs w:val="30"/>
        </w:rPr>
        <w:t>应向我外汇管理部</w:t>
      </w:r>
      <w:r w:rsidRPr="00A34895">
        <w:rPr>
          <w:rFonts w:ascii="方正仿宋_GBK" w:eastAsia="方正仿宋_GBK" w:hAnsi="仿宋_GB2312" w:cs="仿宋_GB2312" w:hint="eastAsia"/>
          <w:sz w:val="30"/>
          <w:szCs w:val="30"/>
        </w:rPr>
        <w:t>报备相关证明材料</w:t>
      </w:r>
      <w:r w:rsidRPr="00A34895">
        <w:rPr>
          <w:rFonts w:ascii="方正仿宋_GBK" w:eastAsia="方正仿宋_GBK" w:hint="eastAsia"/>
          <w:sz w:val="30"/>
          <w:szCs w:val="30"/>
        </w:rPr>
        <w:t>，包括但不限于公司章程、内控制度、风险管理制度等。</w:t>
      </w:r>
    </w:p>
    <w:p w:rsidR="001D1BCF" w:rsidRPr="00A34895" w:rsidRDefault="00B4508A">
      <w:pPr>
        <w:spacing w:line="360" w:lineRule="auto"/>
        <w:ind w:firstLineChars="200" w:firstLine="600"/>
        <w:rPr>
          <w:rFonts w:ascii="方正仿宋_GBK" w:eastAsia="方正仿宋_GBK" w:hAnsi="仿宋" w:cs="仿宋_GB2312" w:hint="eastAsia"/>
          <w:sz w:val="30"/>
          <w:szCs w:val="30"/>
        </w:rPr>
      </w:pPr>
      <w:r w:rsidRPr="00A34895">
        <w:rPr>
          <w:rFonts w:ascii="方正仿宋_GBK" w:eastAsia="方正仿宋_GBK" w:hint="eastAsia"/>
          <w:sz w:val="30"/>
          <w:szCs w:val="30"/>
        </w:rPr>
        <w:t>代理机构开展试点业务时，应在我外汇管理部办理逐笔</w:t>
      </w:r>
      <w:r w:rsidRPr="00A34895">
        <w:rPr>
          <w:rFonts w:ascii="方正仿宋_GBK" w:eastAsia="方正仿宋_GBK" w:hAnsi="仿宋" w:cs="仿宋_GB2312" w:hint="eastAsia"/>
          <w:sz w:val="30"/>
          <w:szCs w:val="30"/>
        </w:rPr>
        <w:t>外债登记，并提交以下材料：</w:t>
      </w:r>
    </w:p>
    <w:p w:rsidR="001D1BCF" w:rsidRPr="00A34895" w:rsidRDefault="00B4508A">
      <w:pPr>
        <w:spacing w:line="360" w:lineRule="auto"/>
        <w:ind w:firstLineChars="200" w:firstLine="600"/>
        <w:rPr>
          <w:rFonts w:ascii="方正仿宋_GBK" w:eastAsia="方正仿宋_GBK" w:hint="eastAsia"/>
          <w:sz w:val="30"/>
          <w:szCs w:val="30"/>
        </w:rPr>
      </w:pPr>
      <w:r w:rsidRPr="00A34895">
        <w:rPr>
          <w:rFonts w:ascii="方正仿宋_GBK" w:eastAsia="方正仿宋_GBK" w:hint="eastAsia"/>
          <w:sz w:val="30"/>
          <w:szCs w:val="30"/>
        </w:rPr>
        <w:t>1.</w:t>
      </w:r>
      <w:r w:rsidRPr="00A34895">
        <w:rPr>
          <w:rFonts w:ascii="方正仿宋_GBK" w:eastAsia="方正仿宋_GBK" w:hint="eastAsia"/>
          <w:sz w:val="30"/>
          <w:szCs w:val="30"/>
        </w:rPr>
        <w:t>外债登记申请书；</w:t>
      </w:r>
    </w:p>
    <w:p w:rsidR="001D1BCF" w:rsidRPr="00A34895" w:rsidRDefault="00B4508A">
      <w:pPr>
        <w:spacing w:line="360" w:lineRule="auto"/>
        <w:ind w:firstLineChars="200" w:firstLine="600"/>
        <w:rPr>
          <w:rFonts w:ascii="方正仿宋_GBK" w:eastAsia="方正仿宋_GBK" w:hint="eastAsia"/>
          <w:sz w:val="30"/>
          <w:szCs w:val="30"/>
        </w:rPr>
      </w:pPr>
      <w:r w:rsidRPr="00A34895">
        <w:rPr>
          <w:rFonts w:ascii="方正仿宋_GBK" w:eastAsia="方正仿宋_GBK" w:hint="eastAsia"/>
          <w:sz w:val="30"/>
          <w:szCs w:val="30"/>
        </w:rPr>
        <w:t>2.</w:t>
      </w:r>
      <w:r w:rsidRPr="00A34895">
        <w:rPr>
          <w:rFonts w:ascii="方正仿宋_GBK" w:eastAsia="方正仿宋_GBK" w:hint="eastAsia"/>
          <w:sz w:val="30"/>
          <w:szCs w:val="30"/>
        </w:rPr>
        <w:t>对外转让不良贷款情况及对外转让协议（含关于转让资产合法合规真实的承诺书或相关证明材料、底层贷款和资产担保情况）。</w:t>
      </w:r>
    </w:p>
    <w:p w:rsidR="001D1BCF" w:rsidRPr="00A34895" w:rsidRDefault="00B4508A">
      <w:pPr>
        <w:spacing w:line="360" w:lineRule="auto"/>
        <w:ind w:firstLineChars="200" w:firstLine="600"/>
        <w:rPr>
          <w:rFonts w:ascii="方正仿宋_GBK" w:eastAsia="方正仿宋_GBK" w:hAnsi="仿宋" w:cs="仿宋_GB2312" w:hint="eastAsia"/>
          <w:sz w:val="30"/>
          <w:szCs w:val="30"/>
        </w:rPr>
      </w:pPr>
      <w:r w:rsidRPr="00A34895">
        <w:rPr>
          <w:rFonts w:ascii="方正仿宋_GBK" w:eastAsia="方正仿宋_GBK" w:hint="eastAsia"/>
          <w:sz w:val="30"/>
          <w:szCs w:val="30"/>
        </w:rPr>
        <w:t>我外汇管理部为代理机构办理外债</w:t>
      </w:r>
      <w:r w:rsidRPr="00A34895">
        <w:rPr>
          <w:rFonts w:ascii="方正仿宋_GBK" w:eastAsia="方正仿宋_GBK" w:hAnsi="仿宋" w:cs="仿宋_GB2312" w:hint="eastAsia"/>
          <w:sz w:val="30"/>
          <w:szCs w:val="30"/>
        </w:rPr>
        <w:t>登记并出具业务登记凭证，</w:t>
      </w:r>
      <w:r w:rsidRPr="00A34895">
        <w:rPr>
          <w:rFonts w:ascii="方正仿宋_GBK" w:eastAsia="方正仿宋_GBK" w:hint="eastAsia"/>
          <w:sz w:val="30"/>
          <w:szCs w:val="30"/>
        </w:rPr>
        <w:t>登记金额为对外转让的不良贷款账面金额</w:t>
      </w:r>
      <w:r w:rsidRPr="00A34895">
        <w:rPr>
          <w:rFonts w:ascii="方正仿宋_GBK" w:eastAsia="方正仿宋_GBK" w:hAnsi="仿宋" w:cs="仿宋_GB2312" w:hint="eastAsia"/>
          <w:sz w:val="30"/>
          <w:szCs w:val="30"/>
        </w:rPr>
        <w:t>。</w:t>
      </w:r>
    </w:p>
    <w:p w:rsidR="001D1BCF" w:rsidRPr="00A34895" w:rsidRDefault="00B4508A">
      <w:pPr>
        <w:spacing w:line="360" w:lineRule="auto"/>
        <w:ind w:firstLineChars="200" w:firstLine="602"/>
        <w:rPr>
          <w:rFonts w:ascii="方正仿宋_GBK" w:eastAsia="方正仿宋_GBK" w:hAnsi="仿宋_GB2312" w:cs="仿宋_GB2312" w:hint="eastAsia"/>
          <w:sz w:val="30"/>
          <w:szCs w:val="30"/>
        </w:rPr>
      </w:pPr>
      <w:r w:rsidRPr="00A34895">
        <w:rPr>
          <w:rFonts w:ascii="方正仿宋_GBK" w:eastAsia="方正仿宋_GBK" w:hint="eastAsia"/>
          <w:b/>
          <w:sz w:val="30"/>
          <w:szCs w:val="30"/>
        </w:rPr>
        <w:t>第七条</w:t>
      </w:r>
      <w:r w:rsidRPr="00A34895">
        <w:rPr>
          <w:rFonts w:ascii="方正仿宋_GBK" w:eastAsia="方正仿宋_GBK" w:hint="eastAsia"/>
          <w:b/>
          <w:sz w:val="30"/>
          <w:szCs w:val="30"/>
        </w:rPr>
        <w:t xml:space="preserve"> </w:t>
      </w:r>
      <w:r w:rsidRPr="00A34895">
        <w:rPr>
          <w:rFonts w:ascii="方正仿宋_GBK" w:eastAsia="方正仿宋_GBK" w:hAnsi="仿宋_GB2312" w:cs="仿宋_GB2312" w:hint="eastAsia"/>
          <w:sz w:val="30"/>
          <w:szCs w:val="30"/>
        </w:rPr>
        <w:t>代理机构凭业务登记凭证直接在银行开立外债专用账户，用于接收保证金（如有）和不良贷款转让对价。</w:t>
      </w:r>
      <w:r w:rsidRPr="00A34895">
        <w:rPr>
          <w:rFonts w:ascii="方正仿宋_GBK" w:eastAsia="方正仿宋_GBK" w:hint="eastAsia"/>
          <w:sz w:val="30"/>
          <w:szCs w:val="30"/>
        </w:rPr>
        <w:t>代理机构收到的转让对价，可原币或意愿结汇后支付给辖内不良贷款出让方。</w:t>
      </w:r>
    </w:p>
    <w:p w:rsidR="001D1BCF" w:rsidRPr="00A34895" w:rsidRDefault="00B4508A">
      <w:pPr>
        <w:spacing w:line="360" w:lineRule="auto"/>
        <w:ind w:firstLineChars="200" w:firstLine="600"/>
        <w:rPr>
          <w:rFonts w:ascii="方正仿宋_GBK" w:eastAsia="方正仿宋_GBK" w:hAnsi="仿宋_GB2312" w:cs="仿宋_GB2312" w:hint="eastAsia"/>
          <w:sz w:val="30"/>
          <w:szCs w:val="30"/>
        </w:rPr>
      </w:pPr>
      <w:r w:rsidRPr="00A34895">
        <w:rPr>
          <w:rFonts w:ascii="方正仿宋_GBK" w:eastAsia="方正仿宋_GBK" w:hAnsi="仿宋_GB2312" w:cs="仿宋_GB2312" w:hint="eastAsia"/>
          <w:sz w:val="30"/>
          <w:szCs w:val="30"/>
        </w:rPr>
        <w:t>信贷资产对外转让交易达成前，保证金不得结汇和使用；对外转让交易未达成的，保证金应原路退回或用于违约扣款，代理机构应及时办理外债注销登记。</w:t>
      </w:r>
    </w:p>
    <w:p w:rsidR="001D1BCF" w:rsidRPr="00A34895" w:rsidRDefault="00B4508A">
      <w:pPr>
        <w:spacing w:line="360" w:lineRule="auto"/>
        <w:ind w:firstLineChars="200" w:firstLine="602"/>
        <w:rPr>
          <w:rFonts w:ascii="方正仿宋_GBK" w:eastAsia="方正仿宋_GBK" w:hAnsi="仿宋" w:cs="仿宋_GB2312" w:hint="eastAsia"/>
          <w:color w:val="000000"/>
          <w:sz w:val="30"/>
          <w:szCs w:val="30"/>
        </w:rPr>
      </w:pPr>
      <w:r w:rsidRPr="00A34895">
        <w:rPr>
          <w:rFonts w:ascii="方正仿宋_GBK" w:eastAsia="方正仿宋_GBK" w:hint="eastAsia"/>
          <w:b/>
          <w:sz w:val="30"/>
          <w:szCs w:val="30"/>
        </w:rPr>
        <w:t>第八条</w:t>
      </w:r>
      <w:r w:rsidRPr="00A34895">
        <w:rPr>
          <w:rFonts w:ascii="方正仿宋_GBK" w:eastAsia="方正仿宋_GBK" w:hint="eastAsia"/>
          <w:sz w:val="30"/>
          <w:szCs w:val="30"/>
        </w:rPr>
        <w:t xml:space="preserve"> </w:t>
      </w:r>
      <w:r w:rsidRPr="00A34895">
        <w:rPr>
          <w:rFonts w:ascii="方正仿宋_GBK" w:eastAsia="方正仿宋_GBK" w:hint="eastAsia"/>
          <w:sz w:val="30"/>
          <w:szCs w:val="30"/>
        </w:rPr>
        <w:t>通过代理机构对外转让的辖内银行不良贷款后续清收，应在确保清收款真实合规的前提下，按现行外债管理规定购汇及汇出。清收完成，且清收款全额汇出后，代理机构应关闭外债专用账户，并及时办理外债注销登记。</w:t>
      </w:r>
    </w:p>
    <w:p w:rsidR="001D1BCF" w:rsidRPr="00A34895" w:rsidRDefault="00B4508A">
      <w:pPr>
        <w:spacing w:line="360" w:lineRule="auto"/>
        <w:ind w:firstLineChars="200" w:firstLine="602"/>
        <w:rPr>
          <w:rFonts w:ascii="方正仿宋_GBK" w:eastAsia="方正仿宋_GBK" w:hint="eastAsia"/>
          <w:sz w:val="30"/>
          <w:szCs w:val="30"/>
        </w:rPr>
      </w:pPr>
      <w:r w:rsidRPr="00A34895">
        <w:rPr>
          <w:rFonts w:ascii="方正仿宋_GBK" w:eastAsia="方正仿宋_GBK" w:hAnsi="仿宋_GB2312" w:cs="仿宋_GB2312" w:hint="eastAsia"/>
          <w:b/>
          <w:color w:val="000000"/>
          <w:sz w:val="30"/>
          <w:szCs w:val="30"/>
        </w:rPr>
        <w:lastRenderedPageBreak/>
        <w:t>第九条</w:t>
      </w:r>
      <w:r w:rsidRPr="00A34895">
        <w:rPr>
          <w:rFonts w:ascii="方正仿宋_GBK" w:eastAsia="方正仿宋_GBK" w:hAnsi="仿宋_GB2312" w:cs="仿宋_GB2312" w:hint="eastAsia"/>
          <w:b/>
          <w:color w:val="000000"/>
          <w:sz w:val="30"/>
          <w:szCs w:val="30"/>
        </w:rPr>
        <w:t xml:space="preserve"> </w:t>
      </w:r>
      <w:r w:rsidRPr="00A34895">
        <w:rPr>
          <w:rFonts w:ascii="方正仿宋_GBK" w:eastAsia="方正仿宋_GBK" w:hint="eastAsia"/>
          <w:sz w:val="30"/>
          <w:szCs w:val="30"/>
        </w:rPr>
        <w:t>我外汇管理部</w:t>
      </w:r>
      <w:r w:rsidRPr="00A34895">
        <w:rPr>
          <w:rFonts w:ascii="方正仿宋_GBK" w:eastAsia="方正仿宋_GBK" w:hAnsi="仿宋_GB2312" w:cs="仿宋_GB2312" w:hint="eastAsia"/>
          <w:color w:val="000000"/>
          <w:sz w:val="30"/>
          <w:szCs w:val="30"/>
        </w:rPr>
        <w:t>负责对辖内</w:t>
      </w:r>
      <w:r w:rsidRPr="00A34895">
        <w:rPr>
          <w:rFonts w:ascii="方正仿宋_GBK" w:eastAsia="方正仿宋_GBK" w:hAnsi="仿宋" w:cs="仿宋_GB2312" w:hint="eastAsia"/>
          <w:color w:val="000000"/>
          <w:sz w:val="30"/>
          <w:szCs w:val="30"/>
        </w:rPr>
        <w:t>信贷资产跨境转让</w:t>
      </w:r>
      <w:r w:rsidRPr="00A34895">
        <w:rPr>
          <w:rFonts w:ascii="方正仿宋_GBK" w:eastAsia="方正仿宋_GBK" w:hAnsi="仿宋_GB2312" w:cs="仿宋_GB2312" w:hint="eastAsia"/>
          <w:color w:val="000000"/>
          <w:sz w:val="30"/>
          <w:szCs w:val="30"/>
        </w:rPr>
        <w:t>试点业务实施监督管理，跟踪、监测和核查</w:t>
      </w:r>
      <w:r w:rsidRPr="00A34895">
        <w:rPr>
          <w:rFonts w:ascii="方正仿宋_GBK" w:eastAsia="方正仿宋_GBK" w:hAnsi="仿宋" w:cs="仿宋_GB2312" w:hint="eastAsia"/>
          <w:color w:val="000000"/>
          <w:sz w:val="30"/>
          <w:szCs w:val="30"/>
        </w:rPr>
        <w:t>试点业务</w:t>
      </w:r>
      <w:r w:rsidRPr="00A34895">
        <w:rPr>
          <w:rFonts w:ascii="方正仿宋_GBK" w:eastAsia="方正仿宋_GBK" w:hAnsi="仿宋_GB2312" w:cs="仿宋_GB2312" w:hint="eastAsia"/>
          <w:color w:val="000000"/>
          <w:sz w:val="30"/>
          <w:szCs w:val="30"/>
        </w:rPr>
        <w:t>开展情况，依法</w:t>
      </w:r>
      <w:r w:rsidRPr="00A34895">
        <w:rPr>
          <w:rFonts w:ascii="方正仿宋_GBK" w:eastAsia="方正仿宋_GBK" w:hint="eastAsia"/>
          <w:sz w:val="30"/>
          <w:szCs w:val="30"/>
        </w:rPr>
        <w:t>对有违规行为的辖内机构采取约谈、下发风险提示函等措施，对于情节严重的机构，我外汇管理部将暂停或取消其业务。</w:t>
      </w:r>
    </w:p>
    <w:p w:rsidR="001D1BCF" w:rsidRPr="00A34895" w:rsidRDefault="001D1BCF">
      <w:pPr>
        <w:spacing w:line="360" w:lineRule="auto"/>
        <w:ind w:firstLineChars="200" w:firstLine="600"/>
        <w:rPr>
          <w:rFonts w:ascii="方正仿宋_GBK" w:eastAsia="方正仿宋_GBK" w:hAnsi="仿宋" w:cs="仿宋" w:hint="eastAsia"/>
          <w:color w:val="000000"/>
          <w:sz w:val="30"/>
          <w:szCs w:val="30"/>
        </w:rPr>
      </w:pPr>
    </w:p>
    <w:p w:rsidR="001D1BCF" w:rsidRPr="00A34895" w:rsidRDefault="00B4508A">
      <w:pPr>
        <w:spacing w:line="360" w:lineRule="auto"/>
        <w:ind w:firstLineChars="200" w:firstLine="600"/>
        <w:rPr>
          <w:rFonts w:ascii="方正仿宋_GBK" w:eastAsia="方正仿宋_GBK" w:hAnsi="仿宋" w:cs="仿宋" w:hint="eastAsia"/>
          <w:color w:val="000000"/>
          <w:sz w:val="30"/>
          <w:szCs w:val="30"/>
        </w:rPr>
      </w:pPr>
      <w:r w:rsidRPr="00A34895">
        <w:rPr>
          <w:rFonts w:ascii="方正仿宋_GBK" w:eastAsia="方正仿宋_GBK" w:hAnsi="仿宋" w:cs="仿宋" w:hint="eastAsia"/>
          <w:color w:val="000000"/>
          <w:sz w:val="30"/>
          <w:szCs w:val="30"/>
        </w:rPr>
        <w:t>附件：《国家外汇管理局重庆外汇管理部资本项目外汇业务备案通知书》</w:t>
      </w:r>
    </w:p>
    <w:p w:rsidR="001D1BCF" w:rsidRPr="00A34895" w:rsidRDefault="00B4508A">
      <w:pPr>
        <w:widowControl/>
        <w:jc w:val="left"/>
        <w:rPr>
          <w:rFonts w:ascii="方正仿宋_GBK" w:eastAsia="方正仿宋_GBK" w:hAnsi="宋体" w:cs="黑体" w:hint="eastAsia"/>
          <w:bCs/>
          <w:color w:val="000000"/>
          <w:sz w:val="30"/>
          <w:szCs w:val="30"/>
        </w:rPr>
      </w:pPr>
      <w:r w:rsidRPr="00A34895">
        <w:rPr>
          <w:rFonts w:ascii="方正仿宋_GBK" w:eastAsia="方正仿宋_GBK" w:hAnsi="仿宋" w:cs="仿宋" w:hint="eastAsia"/>
          <w:color w:val="000000"/>
          <w:sz w:val="30"/>
          <w:szCs w:val="30"/>
        </w:rPr>
        <w:br w:type="page"/>
      </w:r>
      <w:r w:rsidRPr="00A34895">
        <w:rPr>
          <w:rFonts w:ascii="方正仿宋_GBK" w:eastAsia="方正仿宋_GBK" w:hAnsi="宋体" w:cs="黑体" w:hint="eastAsia"/>
          <w:bCs/>
          <w:color w:val="000000"/>
          <w:sz w:val="30"/>
          <w:szCs w:val="30"/>
        </w:rPr>
        <w:lastRenderedPageBreak/>
        <w:t>附件</w:t>
      </w:r>
    </w:p>
    <w:p w:rsidR="001D1BCF" w:rsidRDefault="00B4508A">
      <w:pPr>
        <w:spacing w:line="360" w:lineRule="auto"/>
        <w:jc w:val="center"/>
        <w:rPr>
          <w:rFonts w:ascii="宋体" w:hAnsi="宋体" w:cs="宋体"/>
          <w:b/>
          <w:spacing w:val="21"/>
          <w:sz w:val="24"/>
          <w:szCs w:val="21"/>
        </w:rPr>
      </w:pPr>
      <w:r>
        <w:rPr>
          <w:rFonts w:ascii="宋体" w:hAnsi="宋体" w:cs="宋体" w:hint="eastAsia"/>
          <w:b/>
          <w:spacing w:val="21"/>
          <w:sz w:val="24"/>
          <w:szCs w:val="21"/>
        </w:rPr>
        <w:t>国家外汇管理局重庆外汇管理部资本项目外汇业务备案通知书</w:t>
      </w:r>
    </w:p>
    <w:p w:rsidR="001D1BCF" w:rsidRDefault="00B4508A">
      <w:pPr>
        <w:rPr>
          <w:rFonts w:eastAsia="楷体_GB2312"/>
          <w:sz w:val="24"/>
        </w:rPr>
      </w:pPr>
      <w:r>
        <w:rPr>
          <w:rFonts w:eastAsia="楷体_GB2312" w:hint="eastAsia"/>
          <w:sz w:val="24"/>
        </w:rPr>
        <w:t>编号：</w:t>
      </w:r>
      <w:r>
        <w:rPr>
          <w:rFonts w:eastAsia="楷体_GB2312" w:hint="eastAsia"/>
          <w:sz w:val="24"/>
        </w:rPr>
        <w:t xml:space="preserve">                                    </w:t>
      </w:r>
      <w:r>
        <w:rPr>
          <w:rFonts w:eastAsia="楷体_GB2312" w:hint="eastAsia"/>
          <w:sz w:val="24"/>
        </w:rPr>
        <w:t>日期：</w:t>
      </w:r>
      <w:r>
        <w:rPr>
          <w:rFonts w:eastAsia="楷体_GB2312" w:hint="eastAsia"/>
          <w:sz w:val="24"/>
        </w:rPr>
        <w:t xml:space="preserve">   </w:t>
      </w: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p>
    <w:tbl>
      <w:tblPr>
        <w:tblW w:w="8568" w:type="dxa"/>
        <w:jc w:val="center"/>
        <w:tblLayout w:type="fixed"/>
        <w:tblLook w:val="04A0" w:firstRow="1" w:lastRow="0" w:firstColumn="1" w:lastColumn="0" w:noHBand="0" w:noVBand="1"/>
      </w:tblPr>
      <w:tblGrid>
        <w:gridCol w:w="1368"/>
        <w:gridCol w:w="2520"/>
        <w:gridCol w:w="1800"/>
        <w:gridCol w:w="795"/>
        <w:gridCol w:w="1772"/>
        <w:gridCol w:w="313"/>
      </w:tblGrid>
      <w:tr w:rsidR="001D1BCF" w:rsidTr="00A34895">
        <w:tblPrEx>
          <w:tblCellMar>
            <w:top w:w="0" w:type="dxa"/>
            <w:bottom w:w="0" w:type="dxa"/>
          </w:tblCellMar>
        </w:tblPrEx>
        <w:trPr>
          <w:cantSplit/>
          <w:trHeight w:val="448"/>
          <w:jc w:val="center"/>
        </w:trPr>
        <w:tc>
          <w:tcPr>
            <w:tcW w:w="1368" w:type="dxa"/>
            <w:tcBorders>
              <w:top w:val="single" w:sz="4" w:space="0" w:color="auto"/>
              <w:left w:val="single" w:sz="4" w:space="0" w:color="auto"/>
              <w:bottom w:val="single" w:sz="4" w:space="0" w:color="auto"/>
              <w:right w:val="single" w:sz="4" w:space="0" w:color="auto"/>
            </w:tcBorders>
          </w:tcPr>
          <w:p w:rsidR="001D1BCF" w:rsidRDefault="00B4508A">
            <w:pPr>
              <w:rPr>
                <w:rFonts w:eastAsia="楷体_GB2312"/>
                <w:sz w:val="28"/>
              </w:rPr>
            </w:pPr>
            <w:r>
              <w:rPr>
                <w:rFonts w:eastAsia="楷体_GB2312" w:hint="eastAsia"/>
                <w:sz w:val="28"/>
              </w:rPr>
              <w:t>来文单位</w:t>
            </w:r>
          </w:p>
        </w:tc>
        <w:tc>
          <w:tcPr>
            <w:tcW w:w="2520" w:type="dxa"/>
            <w:tcBorders>
              <w:top w:val="single" w:sz="4" w:space="0" w:color="auto"/>
              <w:left w:val="nil"/>
              <w:bottom w:val="single" w:sz="4" w:space="0" w:color="auto"/>
              <w:right w:val="single" w:sz="4" w:space="0" w:color="auto"/>
            </w:tcBorders>
          </w:tcPr>
          <w:p w:rsidR="001D1BCF" w:rsidRDefault="001D1BCF">
            <w:pPr>
              <w:rPr>
                <w:rFonts w:eastAsia="楷体_GB2312"/>
                <w:sz w:val="28"/>
              </w:rPr>
            </w:pPr>
          </w:p>
        </w:tc>
        <w:tc>
          <w:tcPr>
            <w:tcW w:w="1800" w:type="dxa"/>
            <w:tcBorders>
              <w:top w:val="single" w:sz="4" w:space="0" w:color="auto"/>
              <w:left w:val="nil"/>
              <w:bottom w:val="single" w:sz="4" w:space="0" w:color="auto"/>
              <w:right w:val="single" w:sz="4" w:space="0" w:color="auto"/>
            </w:tcBorders>
          </w:tcPr>
          <w:p w:rsidR="001D1BCF" w:rsidRDefault="00B4508A">
            <w:pPr>
              <w:rPr>
                <w:rFonts w:eastAsia="楷体_GB2312"/>
                <w:sz w:val="28"/>
              </w:rPr>
            </w:pPr>
            <w:r>
              <w:rPr>
                <w:rFonts w:eastAsia="楷体_GB2312" w:hint="eastAsia"/>
                <w:sz w:val="28"/>
              </w:rPr>
              <w:t>收文日期</w:t>
            </w:r>
          </w:p>
        </w:tc>
        <w:tc>
          <w:tcPr>
            <w:tcW w:w="2567" w:type="dxa"/>
            <w:gridSpan w:val="2"/>
            <w:tcBorders>
              <w:top w:val="single" w:sz="4" w:space="0" w:color="auto"/>
              <w:left w:val="nil"/>
              <w:bottom w:val="single" w:sz="4" w:space="0" w:color="auto"/>
              <w:right w:val="single" w:sz="4" w:space="0" w:color="auto"/>
            </w:tcBorders>
          </w:tcPr>
          <w:p w:rsidR="001D1BCF" w:rsidRDefault="001D1BCF">
            <w:pPr>
              <w:rPr>
                <w:rFonts w:eastAsia="楷体_GB2312"/>
                <w:sz w:val="28"/>
              </w:rPr>
            </w:pPr>
          </w:p>
        </w:tc>
        <w:tc>
          <w:tcPr>
            <w:tcW w:w="313" w:type="dxa"/>
            <w:vMerge w:val="restart"/>
            <w:tcBorders>
              <w:left w:val="nil"/>
            </w:tcBorders>
          </w:tcPr>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B4508A">
            <w:pPr>
              <w:widowControl/>
              <w:jc w:val="left"/>
              <w:rPr>
                <w:rFonts w:eastAsia="楷体_GB2312"/>
                <w:sz w:val="24"/>
              </w:rPr>
            </w:pPr>
            <w:r>
              <w:rPr>
                <w:rFonts w:eastAsia="楷体_GB2312" w:hint="eastAsia"/>
                <w:sz w:val="24"/>
              </w:rPr>
              <w:t>第</w:t>
            </w:r>
          </w:p>
          <w:p w:rsidR="001D1BCF" w:rsidRDefault="00B4508A">
            <w:pPr>
              <w:widowControl/>
              <w:jc w:val="left"/>
              <w:rPr>
                <w:rFonts w:eastAsia="楷体_GB2312"/>
                <w:sz w:val="24"/>
              </w:rPr>
            </w:pPr>
            <w:r>
              <w:rPr>
                <w:rFonts w:eastAsia="楷体_GB2312" w:hint="eastAsia"/>
                <w:sz w:val="24"/>
              </w:rPr>
              <w:t>一联</w:t>
            </w: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B4508A">
            <w:pPr>
              <w:widowControl/>
              <w:jc w:val="left"/>
              <w:rPr>
                <w:rFonts w:eastAsia="楷体_GB2312"/>
                <w:sz w:val="28"/>
              </w:rPr>
            </w:pPr>
            <w:r>
              <w:rPr>
                <w:rFonts w:eastAsia="楷体_GB2312" w:hint="eastAsia"/>
                <w:sz w:val="24"/>
              </w:rPr>
              <w:t>资本项目处留存</w:t>
            </w:r>
          </w:p>
        </w:tc>
      </w:tr>
      <w:tr w:rsidR="001D1BCF" w:rsidTr="00A34895">
        <w:tblPrEx>
          <w:tblCellMar>
            <w:top w:w="0" w:type="dxa"/>
            <w:bottom w:w="0" w:type="dxa"/>
          </w:tblCellMar>
        </w:tblPrEx>
        <w:trPr>
          <w:cantSplit/>
          <w:trHeight w:val="435"/>
          <w:jc w:val="center"/>
        </w:trPr>
        <w:tc>
          <w:tcPr>
            <w:tcW w:w="1368" w:type="dxa"/>
            <w:tcBorders>
              <w:top w:val="single" w:sz="4" w:space="0" w:color="auto"/>
              <w:left w:val="single" w:sz="4" w:space="0" w:color="auto"/>
              <w:bottom w:val="single" w:sz="4" w:space="0" w:color="auto"/>
              <w:right w:val="single" w:sz="4" w:space="0" w:color="auto"/>
            </w:tcBorders>
          </w:tcPr>
          <w:p w:rsidR="001D1BCF" w:rsidRDefault="001D1BCF">
            <w:pPr>
              <w:rPr>
                <w:rFonts w:eastAsia="楷体_GB2312"/>
                <w:sz w:val="28"/>
              </w:rPr>
            </w:pPr>
          </w:p>
          <w:p w:rsidR="001D1BCF" w:rsidRDefault="00B4508A">
            <w:pPr>
              <w:rPr>
                <w:rFonts w:eastAsia="楷体_GB2312"/>
                <w:sz w:val="28"/>
              </w:rPr>
            </w:pPr>
            <w:r>
              <w:rPr>
                <w:rFonts w:eastAsia="楷体_GB2312" w:hint="eastAsia"/>
                <w:sz w:val="28"/>
              </w:rPr>
              <w:t>文件名称</w:t>
            </w:r>
          </w:p>
          <w:p w:rsidR="001D1BCF" w:rsidRDefault="001D1BCF">
            <w:pPr>
              <w:rPr>
                <w:rFonts w:eastAsia="楷体_GB2312"/>
                <w:sz w:val="28"/>
              </w:rPr>
            </w:pPr>
          </w:p>
        </w:tc>
        <w:tc>
          <w:tcPr>
            <w:tcW w:w="4320" w:type="dxa"/>
            <w:gridSpan w:val="2"/>
            <w:tcBorders>
              <w:top w:val="single" w:sz="4" w:space="0" w:color="auto"/>
              <w:left w:val="nil"/>
              <w:bottom w:val="single" w:sz="4" w:space="0" w:color="auto"/>
              <w:right w:val="single" w:sz="4" w:space="0" w:color="auto"/>
            </w:tcBorders>
          </w:tcPr>
          <w:p w:rsidR="001D1BCF" w:rsidRDefault="001D1BCF">
            <w:pPr>
              <w:rPr>
                <w:rFonts w:eastAsia="楷体_GB2312"/>
                <w:sz w:val="28"/>
              </w:rPr>
            </w:pPr>
          </w:p>
          <w:p w:rsidR="001D1BCF" w:rsidRDefault="001D1BCF">
            <w:pPr>
              <w:rPr>
                <w:rFonts w:eastAsia="楷体_GB2312"/>
                <w:sz w:val="28"/>
              </w:rPr>
            </w:pPr>
          </w:p>
        </w:tc>
        <w:tc>
          <w:tcPr>
            <w:tcW w:w="795" w:type="dxa"/>
            <w:tcBorders>
              <w:top w:val="single" w:sz="4" w:space="0" w:color="auto"/>
              <w:left w:val="nil"/>
              <w:bottom w:val="single" w:sz="4" w:space="0" w:color="auto"/>
              <w:right w:val="single" w:sz="4" w:space="0" w:color="auto"/>
            </w:tcBorders>
          </w:tcPr>
          <w:p w:rsidR="001D1BCF" w:rsidRDefault="001D1BCF">
            <w:pPr>
              <w:widowControl/>
              <w:jc w:val="left"/>
              <w:rPr>
                <w:rFonts w:eastAsia="楷体_GB2312"/>
                <w:sz w:val="28"/>
              </w:rPr>
            </w:pPr>
          </w:p>
          <w:p w:rsidR="001D1BCF" w:rsidRDefault="00B4508A">
            <w:pPr>
              <w:widowControl/>
              <w:jc w:val="left"/>
              <w:rPr>
                <w:rFonts w:eastAsia="楷体_GB2312"/>
                <w:sz w:val="28"/>
              </w:rPr>
            </w:pPr>
            <w:r>
              <w:rPr>
                <w:rFonts w:eastAsia="楷体_GB2312" w:hint="eastAsia"/>
                <w:sz w:val="28"/>
              </w:rPr>
              <w:t>文号</w:t>
            </w:r>
          </w:p>
          <w:p w:rsidR="001D1BCF" w:rsidRDefault="001D1BCF">
            <w:pPr>
              <w:rPr>
                <w:rFonts w:eastAsia="楷体_GB2312"/>
                <w:sz w:val="28"/>
              </w:rPr>
            </w:pPr>
          </w:p>
        </w:tc>
        <w:tc>
          <w:tcPr>
            <w:tcW w:w="1772" w:type="dxa"/>
            <w:tcBorders>
              <w:top w:val="single" w:sz="4" w:space="0" w:color="auto"/>
              <w:left w:val="nil"/>
              <w:bottom w:val="single" w:sz="4" w:space="0" w:color="auto"/>
              <w:right w:val="single" w:sz="4" w:space="0" w:color="auto"/>
            </w:tcBorders>
          </w:tcPr>
          <w:p w:rsidR="001D1BCF" w:rsidRDefault="001D1BCF">
            <w:pPr>
              <w:widowControl/>
              <w:jc w:val="left"/>
              <w:rPr>
                <w:rFonts w:eastAsia="楷体_GB2312"/>
                <w:sz w:val="28"/>
              </w:rPr>
            </w:pPr>
          </w:p>
          <w:p w:rsidR="001D1BCF" w:rsidRDefault="001D1BCF">
            <w:pPr>
              <w:rPr>
                <w:rFonts w:eastAsia="楷体_GB2312"/>
                <w:sz w:val="28"/>
              </w:rPr>
            </w:pPr>
          </w:p>
        </w:tc>
        <w:tc>
          <w:tcPr>
            <w:tcW w:w="313" w:type="dxa"/>
            <w:vMerge/>
            <w:tcBorders>
              <w:left w:val="nil"/>
            </w:tcBorders>
          </w:tcPr>
          <w:p w:rsidR="001D1BCF" w:rsidRDefault="001D1BCF">
            <w:pPr>
              <w:widowControl/>
              <w:jc w:val="left"/>
              <w:rPr>
                <w:rFonts w:eastAsia="楷体_GB2312"/>
                <w:sz w:val="28"/>
              </w:rPr>
            </w:pPr>
          </w:p>
        </w:tc>
      </w:tr>
      <w:tr w:rsidR="001D1BCF" w:rsidTr="00A34895">
        <w:tblPrEx>
          <w:tblCellMar>
            <w:top w:w="0" w:type="dxa"/>
            <w:bottom w:w="0" w:type="dxa"/>
          </w:tblCellMar>
        </w:tblPrEx>
        <w:trPr>
          <w:cantSplit/>
          <w:trHeight w:val="1814"/>
          <w:jc w:val="center"/>
        </w:trPr>
        <w:tc>
          <w:tcPr>
            <w:tcW w:w="1368" w:type="dxa"/>
            <w:tcBorders>
              <w:top w:val="single" w:sz="4" w:space="0" w:color="auto"/>
              <w:left w:val="single" w:sz="4" w:space="0" w:color="auto"/>
              <w:bottom w:val="single" w:sz="4" w:space="0" w:color="auto"/>
              <w:right w:val="single" w:sz="4" w:space="0" w:color="auto"/>
            </w:tcBorders>
            <w:vAlign w:val="center"/>
          </w:tcPr>
          <w:p w:rsidR="001D1BCF" w:rsidRDefault="00B4508A" w:rsidP="00A34895">
            <w:pPr>
              <w:rPr>
                <w:rFonts w:eastAsia="楷体_GB2312"/>
                <w:sz w:val="28"/>
              </w:rPr>
            </w:pPr>
            <w:r>
              <w:rPr>
                <w:rFonts w:eastAsia="楷体_GB2312" w:hint="eastAsia"/>
                <w:sz w:val="28"/>
              </w:rPr>
              <w:t>申请备案的事项</w:t>
            </w:r>
          </w:p>
        </w:tc>
        <w:tc>
          <w:tcPr>
            <w:tcW w:w="6887" w:type="dxa"/>
            <w:gridSpan w:val="4"/>
            <w:tcBorders>
              <w:top w:val="single" w:sz="4" w:space="0" w:color="auto"/>
              <w:left w:val="nil"/>
              <w:bottom w:val="single" w:sz="4" w:space="0" w:color="auto"/>
              <w:right w:val="single" w:sz="4" w:space="0" w:color="auto"/>
            </w:tcBorders>
          </w:tcPr>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tc>
        <w:tc>
          <w:tcPr>
            <w:tcW w:w="313" w:type="dxa"/>
            <w:vMerge/>
            <w:tcBorders>
              <w:left w:val="nil"/>
            </w:tcBorders>
          </w:tcPr>
          <w:p w:rsidR="001D1BCF" w:rsidRDefault="001D1BCF">
            <w:pPr>
              <w:widowControl/>
              <w:jc w:val="left"/>
              <w:rPr>
                <w:rFonts w:eastAsia="楷体_GB2312"/>
                <w:sz w:val="28"/>
              </w:rPr>
            </w:pPr>
          </w:p>
        </w:tc>
      </w:tr>
      <w:tr w:rsidR="001D1BCF" w:rsidTr="00A34895">
        <w:tblPrEx>
          <w:tblCellMar>
            <w:top w:w="0" w:type="dxa"/>
            <w:bottom w:w="0" w:type="dxa"/>
          </w:tblCellMar>
        </w:tblPrEx>
        <w:trPr>
          <w:cantSplit/>
          <w:trHeight w:val="4955"/>
          <w:jc w:val="center"/>
        </w:trPr>
        <w:tc>
          <w:tcPr>
            <w:tcW w:w="1368" w:type="dxa"/>
            <w:tcBorders>
              <w:top w:val="single" w:sz="4" w:space="0" w:color="auto"/>
              <w:left w:val="single" w:sz="4" w:space="0" w:color="auto"/>
              <w:bottom w:val="single" w:sz="4" w:space="0" w:color="auto"/>
              <w:right w:val="single" w:sz="4" w:space="0" w:color="auto"/>
            </w:tcBorders>
          </w:tcPr>
          <w:p w:rsidR="001D1BCF" w:rsidRDefault="001D1BCF">
            <w:pPr>
              <w:rPr>
                <w:rFonts w:eastAsia="楷体_GB2312"/>
                <w:sz w:val="28"/>
              </w:rPr>
            </w:pPr>
          </w:p>
          <w:p w:rsidR="001D1BCF" w:rsidRDefault="001D1BCF">
            <w:pPr>
              <w:ind w:left="140" w:hangingChars="50" w:hanging="140"/>
              <w:rPr>
                <w:rFonts w:eastAsia="楷体_GB2312"/>
                <w:sz w:val="28"/>
              </w:rPr>
            </w:pPr>
          </w:p>
          <w:p w:rsidR="001D1BCF" w:rsidRDefault="001D1BCF">
            <w:pPr>
              <w:ind w:left="140" w:hangingChars="50" w:hanging="140"/>
              <w:rPr>
                <w:rFonts w:eastAsia="楷体_GB2312"/>
                <w:sz w:val="28"/>
              </w:rPr>
            </w:pPr>
          </w:p>
          <w:p w:rsidR="001D1BCF" w:rsidRDefault="00B4508A">
            <w:pPr>
              <w:rPr>
                <w:rFonts w:eastAsia="楷体_GB2312"/>
                <w:sz w:val="28"/>
              </w:rPr>
            </w:pPr>
            <w:r>
              <w:rPr>
                <w:rFonts w:eastAsia="楷体_GB2312" w:hint="eastAsia"/>
                <w:sz w:val="28"/>
              </w:rPr>
              <w:t>备案意见</w:t>
            </w:r>
          </w:p>
        </w:tc>
        <w:tc>
          <w:tcPr>
            <w:tcW w:w="6887" w:type="dxa"/>
            <w:gridSpan w:val="4"/>
            <w:tcBorders>
              <w:top w:val="single" w:sz="4" w:space="0" w:color="auto"/>
              <w:left w:val="nil"/>
              <w:bottom w:val="single" w:sz="4" w:space="0" w:color="auto"/>
              <w:right w:val="single" w:sz="4" w:space="0" w:color="auto"/>
            </w:tcBorders>
          </w:tcPr>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tc>
        <w:tc>
          <w:tcPr>
            <w:tcW w:w="313" w:type="dxa"/>
            <w:vMerge/>
            <w:tcBorders>
              <w:left w:val="nil"/>
            </w:tcBorders>
          </w:tcPr>
          <w:p w:rsidR="001D1BCF" w:rsidRDefault="001D1BCF">
            <w:pPr>
              <w:widowControl/>
              <w:jc w:val="left"/>
              <w:rPr>
                <w:rFonts w:eastAsia="楷体_GB2312"/>
                <w:sz w:val="28"/>
              </w:rPr>
            </w:pPr>
          </w:p>
        </w:tc>
      </w:tr>
      <w:tr w:rsidR="001D1BCF" w:rsidTr="00A34895">
        <w:tblPrEx>
          <w:tblCellMar>
            <w:top w:w="0" w:type="dxa"/>
            <w:bottom w:w="0" w:type="dxa"/>
          </w:tblCellMar>
        </w:tblPrEx>
        <w:trPr>
          <w:cantSplit/>
          <w:trHeight w:val="195"/>
          <w:jc w:val="center"/>
        </w:trPr>
        <w:tc>
          <w:tcPr>
            <w:tcW w:w="8255" w:type="dxa"/>
            <w:gridSpan w:val="5"/>
            <w:tcBorders>
              <w:top w:val="single" w:sz="4" w:space="0" w:color="auto"/>
              <w:left w:val="single" w:sz="4" w:space="0" w:color="auto"/>
              <w:bottom w:val="single" w:sz="4" w:space="0" w:color="auto"/>
              <w:right w:val="single" w:sz="4" w:space="0" w:color="auto"/>
            </w:tcBorders>
          </w:tcPr>
          <w:p w:rsidR="001D1BCF" w:rsidRDefault="00B4508A">
            <w:pPr>
              <w:rPr>
                <w:rFonts w:eastAsia="楷体_GB2312"/>
                <w:sz w:val="28"/>
              </w:rPr>
            </w:pPr>
            <w:r>
              <w:rPr>
                <w:rFonts w:eastAsia="楷体_GB2312" w:hint="eastAsia"/>
                <w:sz w:val="28"/>
              </w:rPr>
              <w:t>经办人：</w:t>
            </w:r>
            <w:r>
              <w:rPr>
                <w:rFonts w:eastAsia="楷体_GB2312" w:hint="eastAsia"/>
                <w:sz w:val="28"/>
              </w:rPr>
              <w:t xml:space="preserve">        </w:t>
            </w:r>
            <w:r>
              <w:rPr>
                <w:rFonts w:eastAsia="楷体_GB2312" w:hint="eastAsia"/>
                <w:sz w:val="28"/>
              </w:rPr>
              <w:t>电话：</w:t>
            </w:r>
            <w:r>
              <w:rPr>
                <w:rFonts w:eastAsia="楷体_GB2312" w:hint="eastAsia"/>
                <w:sz w:val="28"/>
              </w:rPr>
              <w:t xml:space="preserve">        </w:t>
            </w:r>
            <w:r>
              <w:rPr>
                <w:rFonts w:eastAsia="楷体_GB2312" w:hint="eastAsia"/>
                <w:sz w:val="28"/>
              </w:rPr>
              <w:t>复核人</w:t>
            </w:r>
            <w:r>
              <w:rPr>
                <w:rFonts w:eastAsia="楷体_GB2312" w:hint="eastAsia"/>
                <w:sz w:val="28"/>
              </w:rPr>
              <w:t>/</w:t>
            </w:r>
            <w:r>
              <w:rPr>
                <w:rFonts w:eastAsia="楷体_GB2312" w:hint="eastAsia"/>
                <w:sz w:val="28"/>
              </w:rPr>
              <w:t>审批人（等相关人员）</w:t>
            </w:r>
          </w:p>
        </w:tc>
        <w:tc>
          <w:tcPr>
            <w:tcW w:w="313" w:type="dxa"/>
            <w:vMerge/>
            <w:tcBorders>
              <w:left w:val="nil"/>
            </w:tcBorders>
          </w:tcPr>
          <w:p w:rsidR="001D1BCF" w:rsidRDefault="001D1BCF">
            <w:pPr>
              <w:widowControl/>
              <w:jc w:val="left"/>
              <w:rPr>
                <w:rFonts w:eastAsia="楷体_GB2312"/>
                <w:sz w:val="28"/>
              </w:rPr>
            </w:pPr>
          </w:p>
        </w:tc>
      </w:tr>
    </w:tbl>
    <w:p w:rsidR="001D1BCF" w:rsidRDefault="00B4508A">
      <w:pPr>
        <w:widowControl/>
        <w:jc w:val="center"/>
        <w:rPr>
          <w:rFonts w:ascii="宋体" w:hAnsi="宋体" w:cs="宋体"/>
          <w:b/>
          <w:spacing w:val="21"/>
          <w:sz w:val="24"/>
          <w:szCs w:val="21"/>
        </w:rPr>
      </w:pPr>
      <w:r>
        <w:rPr>
          <w:rFonts w:ascii="宋体" w:hAnsi="宋体" w:cs="宋体"/>
          <w:b/>
          <w:spacing w:val="21"/>
          <w:sz w:val="24"/>
          <w:szCs w:val="21"/>
        </w:rPr>
        <w:br w:type="page"/>
      </w:r>
      <w:r>
        <w:rPr>
          <w:rFonts w:ascii="宋体" w:hAnsi="宋体" w:cs="宋体" w:hint="eastAsia"/>
          <w:b/>
          <w:spacing w:val="21"/>
          <w:sz w:val="24"/>
          <w:szCs w:val="21"/>
        </w:rPr>
        <w:lastRenderedPageBreak/>
        <w:t>国家外汇管理局重庆外汇管理部资本项目外汇业务备案通知书</w:t>
      </w:r>
    </w:p>
    <w:p w:rsidR="001D1BCF" w:rsidRDefault="00B4508A">
      <w:pPr>
        <w:rPr>
          <w:rFonts w:eastAsia="楷体_GB2312"/>
          <w:sz w:val="24"/>
        </w:rPr>
      </w:pPr>
      <w:r>
        <w:rPr>
          <w:rFonts w:eastAsia="楷体_GB2312" w:hint="eastAsia"/>
          <w:sz w:val="24"/>
        </w:rPr>
        <w:t>编号：</w:t>
      </w:r>
      <w:r>
        <w:rPr>
          <w:rFonts w:eastAsia="楷体_GB2312" w:hint="eastAsia"/>
          <w:sz w:val="24"/>
        </w:rPr>
        <w:t xml:space="preserve">              </w:t>
      </w:r>
      <w:r>
        <w:rPr>
          <w:rFonts w:eastAsia="楷体_GB2312" w:hint="eastAsia"/>
          <w:sz w:val="24"/>
        </w:rPr>
        <w:t xml:space="preserve">                      </w:t>
      </w:r>
      <w:r>
        <w:rPr>
          <w:rFonts w:eastAsia="楷体_GB2312" w:hint="eastAsia"/>
          <w:sz w:val="24"/>
        </w:rPr>
        <w:t>日期：</w:t>
      </w:r>
      <w:r>
        <w:rPr>
          <w:rFonts w:eastAsia="楷体_GB2312" w:hint="eastAsia"/>
          <w:sz w:val="24"/>
        </w:rPr>
        <w:t xml:space="preserve">   </w:t>
      </w: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p>
    <w:tbl>
      <w:tblPr>
        <w:tblW w:w="8568" w:type="dxa"/>
        <w:jc w:val="center"/>
        <w:tblLayout w:type="fixed"/>
        <w:tblLook w:val="04A0" w:firstRow="1" w:lastRow="0" w:firstColumn="1" w:lastColumn="0" w:noHBand="0" w:noVBand="1"/>
      </w:tblPr>
      <w:tblGrid>
        <w:gridCol w:w="1368"/>
        <w:gridCol w:w="2520"/>
        <w:gridCol w:w="1800"/>
        <w:gridCol w:w="795"/>
        <w:gridCol w:w="1772"/>
        <w:gridCol w:w="313"/>
      </w:tblGrid>
      <w:tr w:rsidR="001D1BCF" w:rsidTr="00A34895">
        <w:tblPrEx>
          <w:tblCellMar>
            <w:top w:w="0" w:type="dxa"/>
            <w:bottom w:w="0" w:type="dxa"/>
          </w:tblCellMar>
        </w:tblPrEx>
        <w:trPr>
          <w:cantSplit/>
          <w:trHeight w:val="448"/>
          <w:jc w:val="center"/>
        </w:trPr>
        <w:tc>
          <w:tcPr>
            <w:tcW w:w="1368" w:type="dxa"/>
            <w:tcBorders>
              <w:top w:val="single" w:sz="4" w:space="0" w:color="auto"/>
              <w:left w:val="single" w:sz="4" w:space="0" w:color="auto"/>
              <w:bottom w:val="single" w:sz="4" w:space="0" w:color="auto"/>
              <w:right w:val="single" w:sz="4" w:space="0" w:color="auto"/>
            </w:tcBorders>
          </w:tcPr>
          <w:p w:rsidR="001D1BCF" w:rsidRDefault="00B4508A">
            <w:pPr>
              <w:rPr>
                <w:rFonts w:eastAsia="楷体_GB2312"/>
                <w:sz w:val="28"/>
              </w:rPr>
            </w:pPr>
            <w:r>
              <w:rPr>
                <w:rFonts w:eastAsia="楷体_GB2312" w:hint="eastAsia"/>
                <w:sz w:val="28"/>
              </w:rPr>
              <w:t>来文单位</w:t>
            </w:r>
          </w:p>
        </w:tc>
        <w:tc>
          <w:tcPr>
            <w:tcW w:w="2520" w:type="dxa"/>
            <w:tcBorders>
              <w:top w:val="single" w:sz="4" w:space="0" w:color="auto"/>
              <w:left w:val="nil"/>
              <w:bottom w:val="single" w:sz="4" w:space="0" w:color="auto"/>
              <w:right w:val="single" w:sz="4" w:space="0" w:color="auto"/>
            </w:tcBorders>
          </w:tcPr>
          <w:p w:rsidR="001D1BCF" w:rsidRDefault="001D1BCF">
            <w:pPr>
              <w:rPr>
                <w:rFonts w:eastAsia="楷体_GB2312"/>
                <w:sz w:val="28"/>
              </w:rPr>
            </w:pPr>
          </w:p>
        </w:tc>
        <w:tc>
          <w:tcPr>
            <w:tcW w:w="1800" w:type="dxa"/>
            <w:tcBorders>
              <w:top w:val="single" w:sz="4" w:space="0" w:color="auto"/>
              <w:left w:val="nil"/>
              <w:bottom w:val="single" w:sz="4" w:space="0" w:color="auto"/>
              <w:right w:val="single" w:sz="4" w:space="0" w:color="auto"/>
            </w:tcBorders>
          </w:tcPr>
          <w:p w:rsidR="001D1BCF" w:rsidRDefault="00B4508A">
            <w:pPr>
              <w:rPr>
                <w:rFonts w:eastAsia="楷体_GB2312"/>
                <w:sz w:val="28"/>
              </w:rPr>
            </w:pPr>
            <w:r>
              <w:rPr>
                <w:rFonts w:eastAsia="楷体_GB2312" w:hint="eastAsia"/>
                <w:sz w:val="28"/>
              </w:rPr>
              <w:t>收文日期</w:t>
            </w:r>
          </w:p>
        </w:tc>
        <w:tc>
          <w:tcPr>
            <w:tcW w:w="2567" w:type="dxa"/>
            <w:gridSpan w:val="2"/>
            <w:tcBorders>
              <w:top w:val="single" w:sz="4" w:space="0" w:color="auto"/>
              <w:left w:val="nil"/>
              <w:bottom w:val="single" w:sz="4" w:space="0" w:color="auto"/>
              <w:right w:val="single" w:sz="4" w:space="0" w:color="auto"/>
            </w:tcBorders>
          </w:tcPr>
          <w:p w:rsidR="001D1BCF" w:rsidRDefault="001D1BCF">
            <w:pPr>
              <w:rPr>
                <w:rFonts w:eastAsia="楷体_GB2312"/>
                <w:sz w:val="28"/>
              </w:rPr>
            </w:pPr>
          </w:p>
        </w:tc>
        <w:tc>
          <w:tcPr>
            <w:tcW w:w="313" w:type="dxa"/>
            <w:vMerge w:val="restart"/>
            <w:tcBorders>
              <w:left w:val="nil"/>
            </w:tcBorders>
          </w:tcPr>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B4508A">
            <w:pPr>
              <w:widowControl/>
              <w:jc w:val="left"/>
              <w:rPr>
                <w:rFonts w:eastAsia="楷体_GB2312"/>
                <w:sz w:val="24"/>
              </w:rPr>
            </w:pPr>
            <w:r>
              <w:rPr>
                <w:rFonts w:eastAsia="楷体_GB2312" w:hint="eastAsia"/>
                <w:sz w:val="24"/>
              </w:rPr>
              <w:t>第</w:t>
            </w:r>
          </w:p>
          <w:p w:rsidR="001D1BCF" w:rsidRDefault="00B4508A">
            <w:pPr>
              <w:widowControl/>
              <w:jc w:val="left"/>
              <w:rPr>
                <w:rFonts w:eastAsia="楷体_GB2312"/>
                <w:sz w:val="24"/>
              </w:rPr>
            </w:pPr>
            <w:r>
              <w:rPr>
                <w:rFonts w:eastAsia="楷体_GB2312" w:hint="eastAsia"/>
                <w:sz w:val="24"/>
              </w:rPr>
              <w:t>二联</w:t>
            </w: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1D1BCF">
            <w:pPr>
              <w:widowControl/>
              <w:jc w:val="left"/>
              <w:rPr>
                <w:rFonts w:eastAsia="楷体_GB2312"/>
                <w:sz w:val="24"/>
              </w:rPr>
            </w:pPr>
          </w:p>
          <w:p w:rsidR="001D1BCF" w:rsidRDefault="00B4508A">
            <w:pPr>
              <w:widowControl/>
              <w:jc w:val="left"/>
              <w:rPr>
                <w:rFonts w:eastAsia="楷体_GB2312"/>
                <w:sz w:val="28"/>
              </w:rPr>
            </w:pPr>
            <w:r>
              <w:rPr>
                <w:rFonts w:eastAsia="楷体_GB2312" w:hint="eastAsia"/>
                <w:sz w:val="24"/>
              </w:rPr>
              <w:t>发送申请单位</w:t>
            </w:r>
          </w:p>
        </w:tc>
      </w:tr>
      <w:tr w:rsidR="001D1BCF" w:rsidTr="00A34895">
        <w:tblPrEx>
          <w:tblCellMar>
            <w:top w:w="0" w:type="dxa"/>
            <w:bottom w:w="0" w:type="dxa"/>
          </w:tblCellMar>
        </w:tblPrEx>
        <w:trPr>
          <w:cantSplit/>
          <w:trHeight w:val="435"/>
          <w:jc w:val="center"/>
        </w:trPr>
        <w:tc>
          <w:tcPr>
            <w:tcW w:w="1368" w:type="dxa"/>
            <w:tcBorders>
              <w:top w:val="single" w:sz="4" w:space="0" w:color="auto"/>
              <w:left w:val="single" w:sz="4" w:space="0" w:color="auto"/>
              <w:bottom w:val="single" w:sz="4" w:space="0" w:color="auto"/>
              <w:right w:val="single" w:sz="4" w:space="0" w:color="auto"/>
            </w:tcBorders>
          </w:tcPr>
          <w:p w:rsidR="001D1BCF" w:rsidRDefault="001D1BCF">
            <w:pPr>
              <w:rPr>
                <w:rFonts w:eastAsia="楷体_GB2312"/>
                <w:sz w:val="28"/>
              </w:rPr>
            </w:pPr>
          </w:p>
          <w:p w:rsidR="001D1BCF" w:rsidRDefault="00B4508A">
            <w:pPr>
              <w:rPr>
                <w:rFonts w:eastAsia="楷体_GB2312"/>
                <w:sz w:val="28"/>
              </w:rPr>
            </w:pPr>
            <w:r>
              <w:rPr>
                <w:rFonts w:eastAsia="楷体_GB2312" w:hint="eastAsia"/>
                <w:sz w:val="28"/>
              </w:rPr>
              <w:t>文件名称</w:t>
            </w:r>
          </w:p>
          <w:p w:rsidR="001D1BCF" w:rsidRDefault="001D1BCF">
            <w:pPr>
              <w:rPr>
                <w:rFonts w:eastAsia="楷体_GB2312"/>
                <w:sz w:val="28"/>
              </w:rPr>
            </w:pPr>
          </w:p>
        </w:tc>
        <w:tc>
          <w:tcPr>
            <w:tcW w:w="4320" w:type="dxa"/>
            <w:gridSpan w:val="2"/>
            <w:tcBorders>
              <w:top w:val="single" w:sz="4" w:space="0" w:color="auto"/>
              <w:left w:val="nil"/>
              <w:bottom w:val="single" w:sz="4" w:space="0" w:color="auto"/>
              <w:right w:val="single" w:sz="4" w:space="0" w:color="auto"/>
            </w:tcBorders>
          </w:tcPr>
          <w:p w:rsidR="001D1BCF" w:rsidRDefault="001D1BCF">
            <w:pPr>
              <w:rPr>
                <w:rFonts w:eastAsia="楷体_GB2312"/>
                <w:sz w:val="28"/>
              </w:rPr>
            </w:pPr>
          </w:p>
          <w:p w:rsidR="001D1BCF" w:rsidRDefault="001D1BCF">
            <w:pPr>
              <w:rPr>
                <w:rFonts w:eastAsia="楷体_GB2312"/>
                <w:sz w:val="28"/>
              </w:rPr>
            </w:pPr>
          </w:p>
        </w:tc>
        <w:tc>
          <w:tcPr>
            <w:tcW w:w="795" w:type="dxa"/>
            <w:tcBorders>
              <w:top w:val="single" w:sz="4" w:space="0" w:color="auto"/>
              <w:left w:val="nil"/>
              <w:bottom w:val="single" w:sz="4" w:space="0" w:color="auto"/>
              <w:right w:val="single" w:sz="4" w:space="0" w:color="auto"/>
            </w:tcBorders>
          </w:tcPr>
          <w:p w:rsidR="001D1BCF" w:rsidRDefault="001D1BCF">
            <w:pPr>
              <w:widowControl/>
              <w:jc w:val="left"/>
              <w:rPr>
                <w:rFonts w:eastAsia="楷体_GB2312"/>
                <w:sz w:val="28"/>
              </w:rPr>
            </w:pPr>
          </w:p>
          <w:p w:rsidR="001D1BCF" w:rsidRDefault="00B4508A">
            <w:pPr>
              <w:widowControl/>
              <w:jc w:val="left"/>
              <w:rPr>
                <w:rFonts w:eastAsia="楷体_GB2312"/>
                <w:sz w:val="28"/>
              </w:rPr>
            </w:pPr>
            <w:r>
              <w:rPr>
                <w:rFonts w:eastAsia="楷体_GB2312" w:hint="eastAsia"/>
                <w:sz w:val="28"/>
              </w:rPr>
              <w:t>文号</w:t>
            </w:r>
          </w:p>
          <w:p w:rsidR="001D1BCF" w:rsidRDefault="001D1BCF">
            <w:pPr>
              <w:rPr>
                <w:rFonts w:eastAsia="楷体_GB2312"/>
                <w:sz w:val="28"/>
              </w:rPr>
            </w:pPr>
          </w:p>
        </w:tc>
        <w:tc>
          <w:tcPr>
            <w:tcW w:w="1772" w:type="dxa"/>
            <w:tcBorders>
              <w:top w:val="single" w:sz="4" w:space="0" w:color="auto"/>
              <w:left w:val="nil"/>
              <w:bottom w:val="single" w:sz="4" w:space="0" w:color="auto"/>
              <w:right w:val="single" w:sz="4" w:space="0" w:color="auto"/>
            </w:tcBorders>
          </w:tcPr>
          <w:p w:rsidR="001D1BCF" w:rsidRDefault="001D1BCF">
            <w:pPr>
              <w:widowControl/>
              <w:jc w:val="left"/>
              <w:rPr>
                <w:rFonts w:eastAsia="楷体_GB2312"/>
                <w:sz w:val="28"/>
              </w:rPr>
            </w:pPr>
          </w:p>
          <w:p w:rsidR="001D1BCF" w:rsidRDefault="001D1BCF">
            <w:pPr>
              <w:rPr>
                <w:rFonts w:eastAsia="楷体_GB2312"/>
                <w:sz w:val="28"/>
              </w:rPr>
            </w:pPr>
          </w:p>
        </w:tc>
        <w:tc>
          <w:tcPr>
            <w:tcW w:w="313" w:type="dxa"/>
            <w:vMerge/>
            <w:tcBorders>
              <w:left w:val="nil"/>
            </w:tcBorders>
          </w:tcPr>
          <w:p w:rsidR="001D1BCF" w:rsidRDefault="001D1BCF">
            <w:pPr>
              <w:widowControl/>
              <w:jc w:val="left"/>
              <w:rPr>
                <w:rFonts w:eastAsia="楷体_GB2312"/>
                <w:sz w:val="28"/>
              </w:rPr>
            </w:pPr>
          </w:p>
        </w:tc>
      </w:tr>
      <w:tr w:rsidR="001D1BCF" w:rsidTr="00A34895">
        <w:tblPrEx>
          <w:tblCellMar>
            <w:top w:w="0" w:type="dxa"/>
            <w:bottom w:w="0" w:type="dxa"/>
          </w:tblCellMar>
        </w:tblPrEx>
        <w:trPr>
          <w:cantSplit/>
          <w:trHeight w:val="1814"/>
          <w:jc w:val="center"/>
        </w:trPr>
        <w:tc>
          <w:tcPr>
            <w:tcW w:w="1368" w:type="dxa"/>
            <w:tcBorders>
              <w:top w:val="single" w:sz="4" w:space="0" w:color="auto"/>
              <w:left w:val="single" w:sz="4" w:space="0" w:color="auto"/>
              <w:bottom w:val="single" w:sz="4" w:space="0" w:color="auto"/>
              <w:right w:val="single" w:sz="4" w:space="0" w:color="auto"/>
            </w:tcBorders>
            <w:vAlign w:val="center"/>
          </w:tcPr>
          <w:p w:rsidR="001D1BCF" w:rsidRDefault="00B4508A" w:rsidP="00A34895">
            <w:pPr>
              <w:rPr>
                <w:rFonts w:eastAsia="楷体_GB2312"/>
                <w:sz w:val="28"/>
              </w:rPr>
            </w:pPr>
            <w:r>
              <w:rPr>
                <w:rFonts w:eastAsia="楷体_GB2312" w:hint="eastAsia"/>
                <w:sz w:val="28"/>
              </w:rPr>
              <w:t>申请备案的事项</w:t>
            </w:r>
          </w:p>
        </w:tc>
        <w:tc>
          <w:tcPr>
            <w:tcW w:w="6887" w:type="dxa"/>
            <w:gridSpan w:val="4"/>
            <w:tcBorders>
              <w:top w:val="single" w:sz="4" w:space="0" w:color="auto"/>
              <w:left w:val="nil"/>
              <w:bottom w:val="single" w:sz="4" w:space="0" w:color="auto"/>
              <w:right w:val="single" w:sz="4" w:space="0" w:color="auto"/>
            </w:tcBorders>
          </w:tcPr>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tc>
        <w:tc>
          <w:tcPr>
            <w:tcW w:w="313" w:type="dxa"/>
            <w:vMerge/>
            <w:tcBorders>
              <w:left w:val="nil"/>
            </w:tcBorders>
          </w:tcPr>
          <w:p w:rsidR="001D1BCF" w:rsidRDefault="001D1BCF">
            <w:pPr>
              <w:widowControl/>
              <w:jc w:val="left"/>
              <w:rPr>
                <w:rFonts w:eastAsia="楷体_GB2312"/>
                <w:sz w:val="28"/>
              </w:rPr>
            </w:pPr>
          </w:p>
        </w:tc>
      </w:tr>
      <w:tr w:rsidR="001D1BCF" w:rsidTr="00A34895">
        <w:tblPrEx>
          <w:tblCellMar>
            <w:top w:w="0" w:type="dxa"/>
            <w:bottom w:w="0" w:type="dxa"/>
          </w:tblCellMar>
        </w:tblPrEx>
        <w:trPr>
          <w:cantSplit/>
          <w:trHeight w:val="4955"/>
          <w:jc w:val="center"/>
        </w:trPr>
        <w:tc>
          <w:tcPr>
            <w:tcW w:w="1368" w:type="dxa"/>
            <w:tcBorders>
              <w:top w:val="single" w:sz="4" w:space="0" w:color="auto"/>
              <w:left w:val="single" w:sz="4" w:space="0" w:color="auto"/>
              <w:bottom w:val="single" w:sz="4" w:space="0" w:color="auto"/>
              <w:right w:val="single" w:sz="4" w:space="0" w:color="auto"/>
            </w:tcBorders>
          </w:tcPr>
          <w:p w:rsidR="001D1BCF" w:rsidRDefault="001D1BCF">
            <w:pPr>
              <w:rPr>
                <w:rFonts w:eastAsia="楷体_GB2312"/>
                <w:sz w:val="28"/>
              </w:rPr>
            </w:pPr>
          </w:p>
          <w:p w:rsidR="001D1BCF" w:rsidRDefault="001D1BCF">
            <w:pPr>
              <w:ind w:left="140" w:hangingChars="50" w:hanging="140"/>
              <w:rPr>
                <w:rFonts w:eastAsia="楷体_GB2312"/>
                <w:sz w:val="28"/>
              </w:rPr>
            </w:pPr>
          </w:p>
          <w:p w:rsidR="001D1BCF" w:rsidRDefault="001D1BCF">
            <w:pPr>
              <w:ind w:left="140" w:hangingChars="50" w:hanging="140"/>
              <w:rPr>
                <w:rFonts w:eastAsia="楷体_GB2312"/>
                <w:sz w:val="28"/>
              </w:rPr>
            </w:pPr>
          </w:p>
          <w:p w:rsidR="001D1BCF" w:rsidRDefault="00B4508A">
            <w:pPr>
              <w:rPr>
                <w:rFonts w:eastAsia="楷体_GB2312"/>
                <w:sz w:val="28"/>
              </w:rPr>
            </w:pPr>
            <w:r>
              <w:rPr>
                <w:rFonts w:eastAsia="楷体_GB2312" w:hint="eastAsia"/>
                <w:sz w:val="28"/>
              </w:rPr>
              <w:t>备案意见</w:t>
            </w:r>
          </w:p>
        </w:tc>
        <w:tc>
          <w:tcPr>
            <w:tcW w:w="6887" w:type="dxa"/>
            <w:gridSpan w:val="4"/>
            <w:tcBorders>
              <w:top w:val="single" w:sz="4" w:space="0" w:color="auto"/>
              <w:left w:val="nil"/>
              <w:bottom w:val="single" w:sz="4" w:space="0" w:color="auto"/>
              <w:right w:val="single" w:sz="4" w:space="0" w:color="auto"/>
            </w:tcBorders>
          </w:tcPr>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p w:rsidR="001D1BCF" w:rsidRDefault="001D1BCF">
            <w:pPr>
              <w:rPr>
                <w:rFonts w:eastAsia="楷体_GB2312"/>
                <w:sz w:val="28"/>
              </w:rPr>
            </w:pPr>
          </w:p>
        </w:tc>
        <w:tc>
          <w:tcPr>
            <w:tcW w:w="313" w:type="dxa"/>
            <w:vMerge/>
            <w:tcBorders>
              <w:left w:val="nil"/>
            </w:tcBorders>
          </w:tcPr>
          <w:p w:rsidR="001D1BCF" w:rsidRDefault="001D1BCF">
            <w:pPr>
              <w:widowControl/>
              <w:jc w:val="left"/>
              <w:rPr>
                <w:rFonts w:eastAsia="楷体_GB2312"/>
                <w:sz w:val="28"/>
              </w:rPr>
            </w:pPr>
          </w:p>
        </w:tc>
      </w:tr>
      <w:tr w:rsidR="001D1BCF" w:rsidTr="00A34895">
        <w:tblPrEx>
          <w:tblCellMar>
            <w:top w:w="0" w:type="dxa"/>
            <w:bottom w:w="0" w:type="dxa"/>
          </w:tblCellMar>
        </w:tblPrEx>
        <w:trPr>
          <w:cantSplit/>
          <w:trHeight w:val="640"/>
          <w:jc w:val="center"/>
        </w:trPr>
        <w:tc>
          <w:tcPr>
            <w:tcW w:w="8255" w:type="dxa"/>
            <w:gridSpan w:val="5"/>
            <w:tcBorders>
              <w:top w:val="single" w:sz="4" w:space="0" w:color="auto"/>
              <w:left w:val="single" w:sz="4" w:space="0" w:color="auto"/>
              <w:bottom w:val="single" w:sz="4" w:space="0" w:color="auto"/>
              <w:right w:val="single" w:sz="4" w:space="0" w:color="auto"/>
            </w:tcBorders>
          </w:tcPr>
          <w:p w:rsidR="001D1BCF" w:rsidRDefault="00B4508A">
            <w:pPr>
              <w:rPr>
                <w:rFonts w:eastAsia="楷体_GB2312"/>
                <w:sz w:val="28"/>
              </w:rPr>
            </w:pPr>
            <w:r>
              <w:rPr>
                <w:rFonts w:eastAsia="楷体_GB2312" w:hint="eastAsia"/>
                <w:sz w:val="28"/>
              </w:rPr>
              <w:t>备注：</w:t>
            </w:r>
          </w:p>
        </w:tc>
        <w:tc>
          <w:tcPr>
            <w:tcW w:w="313" w:type="dxa"/>
            <w:vMerge/>
            <w:tcBorders>
              <w:left w:val="nil"/>
            </w:tcBorders>
          </w:tcPr>
          <w:p w:rsidR="001D1BCF" w:rsidRDefault="001D1BCF">
            <w:pPr>
              <w:widowControl/>
              <w:jc w:val="left"/>
              <w:rPr>
                <w:rFonts w:eastAsia="楷体_GB2312"/>
                <w:sz w:val="28"/>
              </w:rPr>
            </w:pPr>
          </w:p>
        </w:tc>
      </w:tr>
    </w:tbl>
    <w:p w:rsidR="001D1BCF" w:rsidRDefault="001D1BCF">
      <w:pPr>
        <w:spacing w:line="360" w:lineRule="auto"/>
        <w:rPr>
          <w:rFonts w:ascii="宋体" w:hAnsi="宋体" w:cs="宋体"/>
          <w:b/>
          <w:spacing w:val="21"/>
          <w:sz w:val="24"/>
          <w:szCs w:val="21"/>
        </w:rPr>
      </w:pPr>
    </w:p>
    <w:sectPr w:rsidR="001D1BCF">
      <w:footerReference w:type="default" r:id="rId7"/>
      <w:pgSz w:w="11906" w:h="16838"/>
      <w:pgMar w:top="1702" w:right="1702" w:bottom="1702" w:left="1702" w:header="851" w:footer="1417" w:gutter="0"/>
      <w:cols w:space="720"/>
      <w:docGrid w:type="lines" w:linePitch="31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08A" w:rsidRDefault="00B4508A">
      <w:r>
        <w:separator/>
      </w:r>
    </w:p>
  </w:endnote>
  <w:endnote w:type="continuationSeparator" w:id="0">
    <w:p w:rsidR="00B4508A" w:rsidRDefault="00B4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BCF" w:rsidRDefault="00B4508A">
    <w:pPr>
      <w:pStyle w:val="a5"/>
      <w:jc w:val="center"/>
    </w:pPr>
    <w:r>
      <w:fldChar w:fldCharType="begin"/>
    </w:r>
    <w:r>
      <w:instrText xml:space="preserve"> PAGE   \* MERGEFORMAT </w:instrText>
    </w:r>
    <w:r>
      <w:fldChar w:fldCharType="separate"/>
    </w:r>
    <w:r w:rsidR="001E33EA" w:rsidRPr="001E33EA">
      <w:rPr>
        <w:noProof/>
        <w:lang w:val="zh-CN"/>
      </w:rPr>
      <w:t>1</w:t>
    </w:r>
    <w:r>
      <w:rPr>
        <w:lang w:val="zh-CN"/>
      </w:rPr>
      <w:fldChar w:fldCharType="end"/>
    </w:r>
  </w:p>
  <w:p w:rsidR="001D1BCF" w:rsidRDefault="001D1B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08A" w:rsidRDefault="00B4508A">
      <w:r>
        <w:separator/>
      </w:r>
    </w:p>
  </w:footnote>
  <w:footnote w:type="continuationSeparator" w:id="0">
    <w:p w:rsidR="00B4508A" w:rsidRDefault="00B4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500"/>
  <w:drawingGridHorizontalSpacing w:val="105"/>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BCF"/>
    <w:rsid w:val="001D1BCF"/>
    <w:rsid w:val="001E33EA"/>
    <w:rsid w:val="00A34895"/>
    <w:rsid w:val="00B4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5B8D94F"/>
  <w15:docId w15:val="{33D6C042-EFCA-4A5A-A55B-CC998171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pPr>
      <w:widowControl/>
      <w:jc w:val="left"/>
    </w:pPr>
    <w:rPr>
      <w:rFonts w:eastAsia="楷体_GB2312"/>
      <w:sz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rPr>
  </w:style>
  <w:style w:type="paragraph" w:styleId="a7">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pPr>
      <w:ind w:firstLineChars="200" w:firstLine="420"/>
    </w:pPr>
    <w:rPr>
      <w:szCs w:val="24"/>
    </w:rPr>
  </w:style>
  <w:style w:type="paragraph" w:customStyle="1" w:styleId="2">
    <w:name w:val="列出段落2"/>
    <w:basedOn w:val="a"/>
    <w:uiPriority w:val="99"/>
    <w:unhideWhenUsed/>
    <w:pPr>
      <w:ind w:firstLineChars="200" w:firstLine="420"/>
    </w:pPr>
  </w:style>
  <w:style w:type="character" w:customStyle="1" w:styleId="a4">
    <w:name w:val="批注框文本 字符"/>
    <w:link w:val="a3"/>
    <w:uiPriority w:val="99"/>
    <w:rPr>
      <w:kern w:val="2"/>
      <w:sz w:val="18"/>
      <w:szCs w:val="18"/>
    </w:rPr>
  </w:style>
  <w:style w:type="character" w:customStyle="1" w:styleId="a6">
    <w:name w:val="页脚 字符"/>
    <w:link w:val="a5"/>
    <w:uiPriority w:val="99"/>
    <w:rPr>
      <w:kern w:val="2"/>
      <w:sz w:val="18"/>
    </w:rPr>
  </w:style>
  <w:style w:type="character" w:customStyle="1" w:styleId="30">
    <w:name w:val="正文文本 3 字符"/>
    <w:link w:val="3"/>
    <w:rPr>
      <w:rFonts w:eastAsia="楷体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国家外汇管理局深圳市分局关于</dc:title>
  <dc:creator>清华同方</dc:creator>
  <cp:lastModifiedBy>邓薇</cp:lastModifiedBy>
  <cp:revision>3</cp:revision>
  <cp:lastPrinted>2020-08-17T02:17:00Z</cp:lastPrinted>
  <dcterms:created xsi:type="dcterms:W3CDTF">2019-12-13T07:25:00Z</dcterms:created>
  <dcterms:modified xsi:type="dcterms:W3CDTF">2020-08-17T02:17:00Z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_AdHocReviewCycleID">
    <vt:r8>955545871</vt:r8>
  </property>
  <property fmtid="{D5CDD505-2E9C-101B-9397-08002B2CF9AE}" pid="4" name="_EmailSubject">
    <vt:lpwstr>深圳市分局关于印发跨境资产转让操作指引的通知（请转王蕾处长）</vt:lpwstr>
  </property>
  <property fmtid="{D5CDD505-2E9C-101B-9397-08002B2CF9AE}" pid="5" name="_AuthorEmail">
    <vt:lpwstr>capital@szv.safe</vt:lpwstr>
  </property>
  <property fmtid="{D5CDD505-2E9C-101B-9397-08002B2CF9AE}" pid="6" name="_AuthorEmailDisplayName">
    <vt:lpwstr>shenzhenziben</vt:lpwstr>
  </property>
</Properties>
</file>